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B59" w:rsidRDefault="007E3B59" w:rsidP="007C13CB">
      <w:pPr>
        <w:tabs>
          <w:tab w:val="center" w:pos="5060"/>
        </w:tabs>
        <w:ind w:right="180"/>
        <w:jc w:val="both"/>
        <w:rPr>
          <w:b/>
          <w:sz w:val="28"/>
          <w:szCs w:val="27"/>
        </w:rPr>
      </w:pPr>
      <w:r>
        <w:rPr>
          <w:b/>
          <w:sz w:val="23"/>
          <w:szCs w:val="23"/>
        </w:rPr>
        <w:tab/>
      </w:r>
      <w:r>
        <w:rPr>
          <w:b/>
          <w:sz w:val="28"/>
          <w:szCs w:val="27"/>
        </w:rPr>
        <w:t>COMMUNITY DEVELOPMENT</w:t>
      </w:r>
    </w:p>
    <w:p w:rsidR="007E3B59" w:rsidRDefault="007E3B59" w:rsidP="007C13CB">
      <w:pPr>
        <w:tabs>
          <w:tab w:val="center" w:pos="5060"/>
        </w:tabs>
        <w:ind w:right="180"/>
        <w:jc w:val="both"/>
        <w:rPr>
          <w:sz w:val="28"/>
          <w:szCs w:val="23"/>
        </w:rPr>
      </w:pPr>
      <w:r>
        <w:rPr>
          <w:b/>
          <w:sz w:val="28"/>
          <w:szCs w:val="27"/>
        </w:rPr>
        <w:tab/>
        <w:t>TECHNICAL ASSISTANCE GRANT PROGRAM</w:t>
      </w:r>
    </w:p>
    <w:p w:rsidR="007E3B59" w:rsidRDefault="007E3B59" w:rsidP="007C13CB">
      <w:pPr>
        <w:ind w:right="180"/>
        <w:jc w:val="both"/>
        <w:rPr>
          <w:sz w:val="23"/>
          <w:szCs w:val="23"/>
        </w:rPr>
      </w:pPr>
    </w:p>
    <w:p w:rsidR="007E3B59" w:rsidRDefault="007E3B59" w:rsidP="007C13CB">
      <w:pPr>
        <w:ind w:right="180"/>
        <w:jc w:val="both"/>
        <w:rPr>
          <w:szCs w:val="23"/>
        </w:rPr>
      </w:pPr>
      <w:r>
        <w:rPr>
          <w:b/>
          <w:szCs w:val="23"/>
        </w:rPr>
        <w:t>PURPOSE:</w:t>
      </w:r>
      <w:r>
        <w:rPr>
          <w:szCs w:val="23"/>
        </w:rPr>
        <w:tab/>
        <w:t xml:space="preserve">The Pittsfield Economic Revitalization Corporation (PERC) provides grants for specialized technical assistance to owners of and persons developing small businesses and micro-enterprises in </w:t>
      </w:r>
      <w:smartTag w:uri="urn:schemas-microsoft-com:office:smarttags" w:element="City">
        <w:r>
          <w:rPr>
            <w:szCs w:val="23"/>
          </w:rPr>
          <w:t>Pittsfield</w:t>
        </w:r>
      </w:smartTag>
      <w:r>
        <w:rPr>
          <w:szCs w:val="23"/>
        </w:rPr>
        <w:t xml:space="preserve">. The matching grants </w:t>
      </w:r>
      <w:proofErr w:type="gramStart"/>
      <w:r>
        <w:rPr>
          <w:szCs w:val="23"/>
        </w:rPr>
        <w:t>are intended</w:t>
      </w:r>
      <w:proofErr w:type="gramEnd"/>
      <w:r>
        <w:rPr>
          <w:szCs w:val="23"/>
        </w:rPr>
        <w:t xml:space="preserve"> for applicants and potential applicants of PERC’s small business loan program, but grants may also be made to eligible applicants of other public or private financing programs.  The grants </w:t>
      </w:r>
      <w:proofErr w:type="gramStart"/>
      <w:r>
        <w:rPr>
          <w:szCs w:val="23"/>
        </w:rPr>
        <w:t>are designed</w:t>
      </w:r>
      <w:proofErr w:type="gramEnd"/>
      <w:r>
        <w:rPr>
          <w:szCs w:val="23"/>
        </w:rPr>
        <w:t xml:space="preserve"> to provide funding to businesses unable to obtain such funding in the private market. The source of funding for this program is the Federal Community Development Block Grant (CDBG) made available to PERC by the City of </w:t>
      </w:r>
      <w:smartTag w:uri="urn:schemas-microsoft-com:office:smarttags" w:element="City">
        <w:r>
          <w:rPr>
            <w:szCs w:val="23"/>
          </w:rPr>
          <w:t>Pittsfield</w:t>
        </w:r>
      </w:smartTag>
      <w:r>
        <w:rPr>
          <w:szCs w:val="23"/>
        </w:rPr>
        <w:t>.</w:t>
      </w:r>
    </w:p>
    <w:p w:rsidR="007E3B59" w:rsidRDefault="007E3B59" w:rsidP="007C13CB">
      <w:pPr>
        <w:ind w:right="180"/>
        <w:jc w:val="both"/>
        <w:rPr>
          <w:szCs w:val="23"/>
        </w:rPr>
      </w:pPr>
    </w:p>
    <w:p w:rsidR="007E3B59" w:rsidRDefault="007E3B59" w:rsidP="007C13CB">
      <w:pPr>
        <w:ind w:right="180"/>
        <w:jc w:val="both"/>
        <w:rPr>
          <w:szCs w:val="23"/>
        </w:rPr>
      </w:pPr>
      <w:r>
        <w:rPr>
          <w:b/>
          <w:szCs w:val="23"/>
        </w:rPr>
        <w:t>ELIGIBILITY REQUIREMENTS:</w:t>
      </w:r>
    </w:p>
    <w:p w:rsidR="007E3B59" w:rsidRDefault="007E3B59" w:rsidP="00686716">
      <w:pPr>
        <w:pStyle w:val="a0"/>
        <w:widowControl/>
        <w:numPr>
          <w:ilvl w:val="0"/>
          <w:numId w:val="6"/>
        </w:numPr>
        <w:tabs>
          <w:tab w:val="clear" w:pos="1080"/>
          <w:tab w:val="left" w:pos="-1440"/>
        </w:tabs>
        <w:ind w:left="720" w:right="180" w:hanging="360"/>
        <w:jc w:val="both"/>
        <w:rPr>
          <w:szCs w:val="23"/>
        </w:rPr>
      </w:pPr>
      <w:r>
        <w:rPr>
          <w:szCs w:val="23"/>
        </w:rPr>
        <w:t>Project must be located in Pittsfield.</w:t>
      </w:r>
    </w:p>
    <w:p w:rsidR="007E3B59" w:rsidRDefault="007E3B59" w:rsidP="00686716">
      <w:pPr>
        <w:pStyle w:val="a0"/>
        <w:widowControl/>
        <w:numPr>
          <w:ilvl w:val="0"/>
          <w:numId w:val="6"/>
        </w:numPr>
        <w:tabs>
          <w:tab w:val="clear" w:pos="1080"/>
          <w:tab w:val="left" w:pos="-1440"/>
        </w:tabs>
        <w:ind w:left="720" w:right="180" w:hanging="360"/>
        <w:jc w:val="both"/>
        <w:rPr>
          <w:szCs w:val="23"/>
        </w:rPr>
      </w:pPr>
      <w:r>
        <w:rPr>
          <w:szCs w:val="23"/>
        </w:rPr>
        <w:t>Company must meet the SBA definition of a small business:</w:t>
      </w:r>
    </w:p>
    <w:p w:rsidR="007E3B59" w:rsidRDefault="007E3B59" w:rsidP="00CF7A14">
      <w:pPr>
        <w:pStyle w:val="a0"/>
        <w:widowControl/>
        <w:numPr>
          <w:ilvl w:val="0"/>
          <w:numId w:val="7"/>
        </w:numPr>
        <w:tabs>
          <w:tab w:val="left" w:pos="-1440"/>
        </w:tabs>
        <w:ind w:right="180"/>
        <w:jc w:val="both"/>
        <w:rPr>
          <w:szCs w:val="23"/>
        </w:rPr>
      </w:pPr>
      <w:r>
        <w:rPr>
          <w:szCs w:val="23"/>
        </w:rPr>
        <w:t>Independently owned.</w:t>
      </w:r>
    </w:p>
    <w:p w:rsidR="007E3B59" w:rsidRDefault="007E3B59" w:rsidP="00CF7A14">
      <w:pPr>
        <w:pStyle w:val="a0"/>
        <w:widowControl/>
        <w:numPr>
          <w:ilvl w:val="0"/>
          <w:numId w:val="7"/>
        </w:numPr>
        <w:tabs>
          <w:tab w:val="left" w:pos="-1440"/>
        </w:tabs>
        <w:ind w:right="180"/>
        <w:jc w:val="both"/>
        <w:rPr>
          <w:szCs w:val="23"/>
        </w:rPr>
      </w:pPr>
      <w:r>
        <w:rPr>
          <w:szCs w:val="23"/>
        </w:rPr>
        <w:t>Does not have a net worth more than $</w:t>
      </w:r>
      <w:r w:rsidR="001527AD">
        <w:rPr>
          <w:szCs w:val="23"/>
        </w:rPr>
        <w:t>18</w:t>
      </w:r>
      <w:r>
        <w:rPr>
          <w:szCs w:val="23"/>
        </w:rPr>
        <w:t xml:space="preserve"> million.</w:t>
      </w:r>
    </w:p>
    <w:p w:rsidR="007E3B59" w:rsidRDefault="007E3B59" w:rsidP="00CF7A14">
      <w:pPr>
        <w:pStyle w:val="a0"/>
        <w:widowControl/>
        <w:numPr>
          <w:ilvl w:val="0"/>
          <w:numId w:val="7"/>
        </w:numPr>
        <w:tabs>
          <w:tab w:val="left" w:pos="-1440"/>
        </w:tabs>
        <w:ind w:right="180"/>
        <w:jc w:val="both"/>
        <w:rPr>
          <w:szCs w:val="23"/>
        </w:rPr>
      </w:pPr>
      <w:r>
        <w:rPr>
          <w:szCs w:val="23"/>
        </w:rPr>
        <w:t>Does not have an average income after Federal income taxes for the preceding two years in excess of $</w:t>
      </w:r>
      <w:r w:rsidR="001527AD">
        <w:rPr>
          <w:szCs w:val="23"/>
        </w:rPr>
        <w:t>6</w:t>
      </w:r>
      <w:r>
        <w:rPr>
          <w:szCs w:val="23"/>
        </w:rPr>
        <w:t xml:space="preserve"> million.</w:t>
      </w:r>
    </w:p>
    <w:p w:rsidR="007E3B59" w:rsidRDefault="007E3B59" w:rsidP="00686716">
      <w:pPr>
        <w:pStyle w:val="a0"/>
        <w:widowControl/>
        <w:numPr>
          <w:ilvl w:val="0"/>
          <w:numId w:val="8"/>
        </w:numPr>
        <w:tabs>
          <w:tab w:val="clear" w:pos="1080"/>
          <w:tab w:val="left" w:pos="-1440"/>
        </w:tabs>
        <w:ind w:left="720" w:right="180" w:hanging="360"/>
        <w:jc w:val="both"/>
        <w:rPr>
          <w:szCs w:val="23"/>
        </w:rPr>
      </w:pPr>
      <w:r>
        <w:rPr>
          <w:szCs w:val="23"/>
        </w:rPr>
        <w:t>Applicant is concurrently making application for a business loan.  Otherwise, there must be a reasonable expectation that, upon completion of the technical assistance grant, the applicant will be prepared to apply for a business loan.</w:t>
      </w:r>
    </w:p>
    <w:p w:rsidR="007E3B59" w:rsidRDefault="007E3B59" w:rsidP="00686716">
      <w:pPr>
        <w:pStyle w:val="a0"/>
        <w:widowControl/>
        <w:numPr>
          <w:ilvl w:val="0"/>
          <w:numId w:val="8"/>
        </w:numPr>
        <w:tabs>
          <w:tab w:val="clear" w:pos="1080"/>
          <w:tab w:val="left" w:pos="-1440"/>
        </w:tabs>
        <w:ind w:left="720" w:right="180" w:hanging="360"/>
        <w:jc w:val="both"/>
        <w:rPr>
          <w:szCs w:val="23"/>
        </w:rPr>
      </w:pPr>
      <w:r>
        <w:rPr>
          <w:szCs w:val="23"/>
        </w:rPr>
        <w:t>Applicant must create or retain at least one full-time equivalent, permanent job per $35,000 of CDBG funds used; or applicant is developing a micro-enterprise and is qualified by income to receive assistance:</w:t>
      </w:r>
    </w:p>
    <w:p w:rsidR="007E3B59" w:rsidRDefault="007E3B59" w:rsidP="00CF7A14">
      <w:pPr>
        <w:pStyle w:val="a0"/>
        <w:widowControl/>
        <w:numPr>
          <w:ilvl w:val="0"/>
          <w:numId w:val="9"/>
        </w:numPr>
        <w:tabs>
          <w:tab w:val="left" w:pos="-1440"/>
        </w:tabs>
        <w:ind w:right="180"/>
        <w:jc w:val="both"/>
        <w:rPr>
          <w:szCs w:val="23"/>
        </w:rPr>
      </w:pPr>
      <w:r>
        <w:rPr>
          <w:szCs w:val="23"/>
        </w:rPr>
        <w:t>Individuals are eligible if they are Pittsfield residents developing a micro-enterprise (a commercial enterprise that has five or fewer employees, one or more of whom owns the enterprise) and meet low- to moderate-income guidelines.</w:t>
      </w:r>
    </w:p>
    <w:p w:rsidR="007E3B59" w:rsidRDefault="007E3B59" w:rsidP="00CF7A14">
      <w:pPr>
        <w:pStyle w:val="a0"/>
        <w:widowControl/>
        <w:numPr>
          <w:ilvl w:val="0"/>
          <w:numId w:val="9"/>
        </w:numPr>
        <w:tabs>
          <w:tab w:val="left" w:pos="-1440"/>
        </w:tabs>
        <w:ind w:right="180"/>
        <w:jc w:val="both"/>
        <w:rPr>
          <w:szCs w:val="23"/>
        </w:rPr>
      </w:pPr>
      <w:r>
        <w:rPr>
          <w:szCs w:val="23"/>
        </w:rPr>
        <w:t>Applicant, if not a micro-enterprise, must guarantee that at least 51% of jobs created or retained will be held by low- or moderate-income residents of Pittsfield as defined by HUD income guidelines.</w:t>
      </w:r>
    </w:p>
    <w:p w:rsidR="007E3B59" w:rsidRDefault="007E3B59" w:rsidP="00686716">
      <w:pPr>
        <w:pStyle w:val="a0"/>
        <w:widowControl/>
        <w:numPr>
          <w:ilvl w:val="0"/>
          <w:numId w:val="10"/>
        </w:numPr>
        <w:tabs>
          <w:tab w:val="clear" w:pos="1080"/>
          <w:tab w:val="left" w:pos="-1440"/>
        </w:tabs>
        <w:ind w:left="720" w:right="180" w:hanging="360"/>
        <w:jc w:val="both"/>
        <w:rPr>
          <w:szCs w:val="23"/>
        </w:rPr>
      </w:pPr>
      <w:r>
        <w:rPr>
          <w:szCs w:val="23"/>
        </w:rPr>
        <w:t>Applicant shall provide matching funds on a dollar-for-dollar basis.  Waivers, in cases of extreme financial hardship, shall be at the discretion of PERC.</w:t>
      </w:r>
    </w:p>
    <w:p w:rsidR="007E3B59" w:rsidRDefault="007E3B59" w:rsidP="007C13CB">
      <w:pPr>
        <w:ind w:right="180"/>
        <w:jc w:val="both"/>
        <w:rPr>
          <w:b/>
          <w:szCs w:val="23"/>
        </w:rPr>
      </w:pPr>
    </w:p>
    <w:p w:rsidR="007E3B59" w:rsidRDefault="007E3B59" w:rsidP="007C13CB">
      <w:pPr>
        <w:ind w:right="180"/>
        <w:jc w:val="both"/>
        <w:rPr>
          <w:szCs w:val="23"/>
        </w:rPr>
      </w:pPr>
      <w:r>
        <w:rPr>
          <w:b/>
          <w:szCs w:val="23"/>
        </w:rPr>
        <w:t>ELIGIBLE USES:</w:t>
      </w:r>
    </w:p>
    <w:p w:rsidR="007E3B59" w:rsidRDefault="007E3B59" w:rsidP="007C13CB">
      <w:pPr>
        <w:keepNext/>
        <w:tabs>
          <w:tab w:val="left" w:pos="720"/>
        </w:tabs>
        <w:ind w:right="180"/>
        <w:jc w:val="both"/>
        <w:rPr>
          <w:szCs w:val="23"/>
        </w:rPr>
      </w:pPr>
      <w:r>
        <w:rPr>
          <w:szCs w:val="23"/>
        </w:rPr>
        <w:t>I.</w:t>
      </w:r>
      <w:r>
        <w:rPr>
          <w:szCs w:val="23"/>
        </w:rPr>
        <w:tab/>
        <w:t>Pre-Start-up (for micro-enterprise applicants only):</w:t>
      </w:r>
    </w:p>
    <w:p w:rsidR="007E3B59" w:rsidRDefault="007E3B59" w:rsidP="00CF7A14">
      <w:pPr>
        <w:pStyle w:val="a0"/>
        <w:widowControl/>
        <w:numPr>
          <w:ilvl w:val="0"/>
          <w:numId w:val="2"/>
        </w:numPr>
        <w:tabs>
          <w:tab w:val="clear" w:pos="1080"/>
          <w:tab w:val="left" w:pos="-1440"/>
        </w:tabs>
        <w:ind w:left="720" w:right="180"/>
        <w:jc w:val="both"/>
        <w:rPr>
          <w:szCs w:val="23"/>
        </w:rPr>
      </w:pPr>
      <w:r>
        <w:rPr>
          <w:szCs w:val="23"/>
        </w:rPr>
        <w:t>Market studies, such as primary market research, determination of market niche, market testing</w:t>
      </w:r>
    </w:p>
    <w:p w:rsidR="00CF7A14" w:rsidRDefault="00CF7A14" w:rsidP="00CF7A14">
      <w:pPr>
        <w:pStyle w:val="a0"/>
        <w:widowControl/>
        <w:numPr>
          <w:ilvl w:val="0"/>
          <w:numId w:val="2"/>
        </w:numPr>
        <w:tabs>
          <w:tab w:val="clear" w:pos="1080"/>
          <w:tab w:val="left" w:pos="-1440"/>
        </w:tabs>
        <w:ind w:left="720" w:right="180"/>
        <w:jc w:val="both"/>
        <w:rPr>
          <w:szCs w:val="23"/>
        </w:rPr>
      </w:pPr>
      <w:r>
        <w:rPr>
          <w:szCs w:val="23"/>
        </w:rPr>
        <w:t>Legal advice regarding business formation</w:t>
      </w:r>
    </w:p>
    <w:p w:rsidR="007E3B59" w:rsidRDefault="007E3B59" w:rsidP="00CF7A14">
      <w:pPr>
        <w:pStyle w:val="a0"/>
        <w:widowControl/>
        <w:numPr>
          <w:ilvl w:val="0"/>
          <w:numId w:val="2"/>
        </w:numPr>
        <w:tabs>
          <w:tab w:val="clear" w:pos="1080"/>
          <w:tab w:val="left" w:pos="-1440"/>
        </w:tabs>
        <w:ind w:left="720" w:right="180"/>
        <w:jc w:val="both"/>
        <w:rPr>
          <w:szCs w:val="23"/>
        </w:rPr>
      </w:pPr>
      <w:r>
        <w:rPr>
          <w:szCs w:val="23"/>
        </w:rPr>
        <w:t>Consultation regarding form of organization</w:t>
      </w:r>
    </w:p>
    <w:p w:rsidR="007E3B59" w:rsidRDefault="00CF7A14" w:rsidP="00CF7A14">
      <w:pPr>
        <w:pStyle w:val="a0"/>
        <w:widowControl/>
        <w:numPr>
          <w:ilvl w:val="0"/>
          <w:numId w:val="2"/>
        </w:numPr>
        <w:tabs>
          <w:tab w:val="clear" w:pos="1080"/>
          <w:tab w:val="left" w:pos="-1440"/>
        </w:tabs>
        <w:ind w:left="720" w:right="180"/>
        <w:jc w:val="both"/>
        <w:rPr>
          <w:szCs w:val="23"/>
        </w:rPr>
      </w:pPr>
      <w:r>
        <w:rPr>
          <w:szCs w:val="23"/>
        </w:rPr>
        <w:t>Co</w:t>
      </w:r>
      <w:r w:rsidR="007E3B59">
        <w:rPr>
          <w:szCs w:val="23"/>
        </w:rPr>
        <w:t>nsultation regarding business planning, such as architectural and engineering, appraisal</w:t>
      </w:r>
    </w:p>
    <w:p w:rsidR="007E3B59" w:rsidRDefault="007E3B59" w:rsidP="00CF7A14">
      <w:pPr>
        <w:pStyle w:val="a0"/>
        <w:widowControl/>
        <w:numPr>
          <w:ilvl w:val="0"/>
          <w:numId w:val="2"/>
        </w:numPr>
        <w:tabs>
          <w:tab w:val="clear" w:pos="1080"/>
          <w:tab w:val="left" w:pos="-1440"/>
        </w:tabs>
        <w:ind w:left="720" w:right="180"/>
        <w:jc w:val="both"/>
        <w:rPr>
          <w:szCs w:val="23"/>
        </w:rPr>
      </w:pPr>
      <w:r>
        <w:rPr>
          <w:szCs w:val="23"/>
        </w:rPr>
        <w:t>Consultation regarding set-up of accounting system</w:t>
      </w:r>
    </w:p>
    <w:p w:rsidR="007E3B59" w:rsidRDefault="007E3B59" w:rsidP="00CF7A14">
      <w:pPr>
        <w:pStyle w:val="a0"/>
        <w:widowControl/>
        <w:numPr>
          <w:ilvl w:val="0"/>
          <w:numId w:val="2"/>
        </w:numPr>
        <w:tabs>
          <w:tab w:val="clear" w:pos="1080"/>
          <w:tab w:val="left" w:pos="-1440"/>
        </w:tabs>
        <w:ind w:left="720" w:right="180"/>
        <w:jc w:val="both"/>
        <w:rPr>
          <w:szCs w:val="23"/>
        </w:rPr>
        <w:sectPr w:rsidR="007E3B59" w:rsidSect="00CF7A14">
          <w:headerReference w:type="default" r:id="rId7"/>
          <w:footerReference w:type="default" r:id="rId8"/>
          <w:headerReference w:type="first" r:id="rId9"/>
          <w:pgSz w:w="12240" w:h="15840"/>
          <w:pgMar w:top="1440" w:right="720" w:bottom="720" w:left="900" w:header="720" w:footer="345" w:gutter="0"/>
          <w:cols w:space="720"/>
          <w:noEndnote/>
          <w:docGrid w:linePitch="326"/>
        </w:sectPr>
      </w:pPr>
    </w:p>
    <w:p w:rsidR="007E3B59" w:rsidRDefault="007E3B59" w:rsidP="007C13CB">
      <w:pPr>
        <w:keepNext/>
        <w:keepLines/>
        <w:ind w:right="180"/>
        <w:jc w:val="both"/>
        <w:rPr>
          <w:szCs w:val="23"/>
        </w:rPr>
      </w:pPr>
    </w:p>
    <w:p w:rsidR="007E3B59" w:rsidRDefault="007E3B59" w:rsidP="00A555B9">
      <w:pPr>
        <w:keepNext/>
        <w:tabs>
          <w:tab w:val="left" w:pos="540"/>
        </w:tabs>
        <w:ind w:right="180"/>
        <w:jc w:val="both"/>
        <w:rPr>
          <w:szCs w:val="23"/>
        </w:rPr>
      </w:pPr>
      <w:r>
        <w:rPr>
          <w:szCs w:val="23"/>
        </w:rPr>
        <w:t>II.</w:t>
      </w:r>
      <w:r>
        <w:rPr>
          <w:szCs w:val="23"/>
        </w:rPr>
        <w:tab/>
        <w:t>Start-up:</w:t>
      </w:r>
    </w:p>
    <w:p w:rsidR="007E3B59" w:rsidRDefault="007E3B59" w:rsidP="00CF7A14">
      <w:pPr>
        <w:pStyle w:val="a0"/>
        <w:widowControl/>
        <w:numPr>
          <w:ilvl w:val="0"/>
          <w:numId w:val="2"/>
        </w:numPr>
        <w:tabs>
          <w:tab w:val="clear" w:pos="1080"/>
          <w:tab w:val="left" w:pos="-1440"/>
          <w:tab w:val="num" w:pos="540"/>
        </w:tabs>
        <w:ind w:left="540" w:right="180"/>
        <w:jc w:val="both"/>
        <w:rPr>
          <w:szCs w:val="23"/>
        </w:rPr>
      </w:pPr>
      <w:r>
        <w:rPr>
          <w:szCs w:val="23"/>
        </w:rPr>
        <w:t>Accounting, such as set-up and implementation of accounting system</w:t>
      </w:r>
    </w:p>
    <w:p w:rsidR="007E3B59" w:rsidRDefault="007E3B59" w:rsidP="00CF7A14">
      <w:pPr>
        <w:pStyle w:val="a0"/>
        <w:widowControl/>
        <w:numPr>
          <w:ilvl w:val="0"/>
          <w:numId w:val="2"/>
        </w:numPr>
        <w:tabs>
          <w:tab w:val="clear" w:pos="1080"/>
          <w:tab w:val="left" w:pos="-1440"/>
          <w:tab w:val="num" w:pos="540"/>
        </w:tabs>
        <w:ind w:left="540" w:right="180"/>
        <w:jc w:val="both"/>
        <w:rPr>
          <w:szCs w:val="23"/>
        </w:rPr>
      </w:pPr>
      <w:r>
        <w:rPr>
          <w:szCs w:val="23"/>
        </w:rPr>
        <w:t>Bookkeeping services</w:t>
      </w:r>
    </w:p>
    <w:p w:rsidR="007E3B59" w:rsidRDefault="007E3B59" w:rsidP="00CF7A14">
      <w:pPr>
        <w:pStyle w:val="a0"/>
        <w:widowControl/>
        <w:numPr>
          <w:ilvl w:val="0"/>
          <w:numId w:val="2"/>
        </w:numPr>
        <w:tabs>
          <w:tab w:val="clear" w:pos="1080"/>
          <w:tab w:val="left" w:pos="-1440"/>
          <w:tab w:val="num" w:pos="540"/>
        </w:tabs>
        <w:ind w:left="540" w:right="180"/>
        <w:jc w:val="both"/>
        <w:rPr>
          <w:szCs w:val="23"/>
        </w:rPr>
      </w:pPr>
      <w:r>
        <w:rPr>
          <w:szCs w:val="23"/>
        </w:rPr>
        <w:t>Cash flow management</w:t>
      </w:r>
    </w:p>
    <w:p w:rsidR="00B8123F" w:rsidRDefault="00B8123F" w:rsidP="00CF7A14">
      <w:pPr>
        <w:pStyle w:val="a0"/>
        <w:widowControl/>
        <w:numPr>
          <w:ilvl w:val="0"/>
          <w:numId w:val="2"/>
        </w:numPr>
        <w:tabs>
          <w:tab w:val="clear" w:pos="1080"/>
          <w:tab w:val="left" w:pos="-1440"/>
          <w:tab w:val="num" w:pos="540"/>
        </w:tabs>
        <w:ind w:left="540" w:right="180"/>
        <w:jc w:val="both"/>
      </w:pPr>
      <w:r>
        <w:t>Marketing related to initial promotion, such as marketing plan or custom campaign</w:t>
      </w:r>
    </w:p>
    <w:p w:rsidR="007E3B59" w:rsidRDefault="007E3B59" w:rsidP="00CF7A14">
      <w:pPr>
        <w:pStyle w:val="a0"/>
        <w:widowControl/>
        <w:numPr>
          <w:ilvl w:val="0"/>
          <w:numId w:val="2"/>
        </w:numPr>
        <w:tabs>
          <w:tab w:val="clear" w:pos="1080"/>
          <w:tab w:val="left" w:pos="-1440"/>
          <w:tab w:val="num" w:pos="540"/>
        </w:tabs>
        <w:ind w:left="540" w:right="180"/>
        <w:jc w:val="both"/>
        <w:rPr>
          <w:szCs w:val="23"/>
        </w:rPr>
      </w:pPr>
      <w:r>
        <w:rPr>
          <w:szCs w:val="23"/>
        </w:rPr>
        <w:t>Management advice</w:t>
      </w:r>
    </w:p>
    <w:p w:rsidR="007E3B59" w:rsidRDefault="007E3B59" w:rsidP="007C13CB">
      <w:pPr>
        <w:keepNext/>
        <w:keepLines/>
        <w:ind w:right="180"/>
        <w:jc w:val="both"/>
        <w:rPr>
          <w:szCs w:val="23"/>
        </w:rPr>
      </w:pPr>
    </w:p>
    <w:p w:rsidR="007E3B59" w:rsidRDefault="007E3B59" w:rsidP="00A555B9">
      <w:pPr>
        <w:keepNext/>
        <w:tabs>
          <w:tab w:val="left" w:pos="540"/>
        </w:tabs>
        <w:ind w:right="180"/>
        <w:jc w:val="both"/>
        <w:rPr>
          <w:szCs w:val="23"/>
        </w:rPr>
      </w:pPr>
      <w:r>
        <w:rPr>
          <w:szCs w:val="23"/>
        </w:rPr>
        <w:t>III.</w:t>
      </w:r>
      <w:r>
        <w:rPr>
          <w:szCs w:val="23"/>
        </w:rPr>
        <w:tab/>
        <w:t>Post Start-up:</w:t>
      </w:r>
    </w:p>
    <w:p w:rsidR="007E3B59" w:rsidRDefault="007E3B59" w:rsidP="00CF7A14">
      <w:pPr>
        <w:pStyle w:val="a0"/>
        <w:widowControl/>
        <w:numPr>
          <w:ilvl w:val="0"/>
          <w:numId w:val="2"/>
        </w:numPr>
        <w:tabs>
          <w:tab w:val="clear" w:pos="1080"/>
          <w:tab w:val="left" w:pos="-1440"/>
        </w:tabs>
        <w:ind w:left="540" w:right="180"/>
        <w:jc w:val="both"/>
        <w:rPr>
          <w:szCs w:val="23"/>
        </w:rPr>
      </w:pPr>
      <w:r>
        <w:rPr>
          <w:szCs w:val="23"/>
        </w:rPr>
        <w:t>Improvement of managerial skills</w:t>
      </w:r>
    </w:p>
    <w:p w:rsidR="007E3B59" w:rsidRDefault="007E3B59" w:rsidP="00CF7A14">
      <w:pPr>
        <w:pStyle w:val="a0"/>
        <w:widowControl/>
        <w:numPr>
          <w:ilvl w:val="0"/>
          <w:numId w:val="2"/>
        </w:numPr>
        <w:tabs>
          <w:tab w:val="clear" w:pos="1080"/>
          <w:tab w:val="left" w:pos="-1440"/>
        </w:tabs>
        <w:ind w:left="540" w:right="180"/>
        <w:jc w:val="both"/>
        <w:rPr>
          <w:szCs w:val="23"/>
        </w:rPr>
      </w:pPr>
      <w:r>
        <w:rPr>
          <w:szCs w:val="23"/>
        </w:rPr>
        <w:t>Marketing for expansion to new market area: market testing, primary and secondary market research, promotion, etc.</w:t>
      </w:r>
    </w:p>
    <w:p w:rsidR="007E3B59" w:rsidRDefault="007E3B59" w:rsidP="00CF7A14">
      <w:pPr>
        <w:pStyle w:val="a0"/>
        <w:widowControl/>
        <w:numPr>
          <w:ilvl w:val="0"/>
          <w:numId w:val="2"/>
        </w:numPr>
        <w:tabs>
          <w:tab w:val="clear" w:pos="1080"/>
          <w:tab w:val="left" w:pos="-1440"/>
        </w:tabs>
        <w:ind w:left="540" w:right="180"/>
        <w:jc w:val="both"/>
        <w:rPr>
          <w:szCs w:val="23"/>
        </w:rPr>
      </w:pPr>
      <w:r>
        <w:rPr>
          <w:szCs w:val="23"/>
        </w:rPr>
        <w:t>Employee management</w:t>
      </w:r>
    </w:p>
    <w:p w:rsidR="007E3B59" w:rsidRDefault="007E3B59" w:rsidP="00CF7A14">
      <w:pPr>
        <w:pStyle w:val="a0"/>
        <w:widowControl/>
        <w:numPr>
          <w:ilvl w:val="0"/>
          <w:numId w:val="2"/>
        </w:numPr>
        <w:tabs>
          <w:tab w:val="clear" w:pos="1080"/>
          <w:tab w:val="left" w:pos="-1440"/>
        </w:tabs>
        <w:ind w:left="540" w:right="180"/>
        <w:jc w:val="both"/>
        <w:rPr>
          <w:szCs w:val="23"/>
        </w:rPr>
      </w:pPr>
      <w:r>
        <w:rPr>
          <w:szCs w:val="23"/>
        </w:rPr>
        <w:t>Payroll accounting, tax reporting, withholding</w:t>
      </w:r>
    </w:p>
    <w:p w:rsidR="007E3B59" w:rsidRDefault="007E3B59" w:rsidP="00CF7A14">
      <w:pPr>
        <w:pStyle w:val="a0"/>
        <w:widowControl/>
        <w:numPr>
          <w:ilvl w:val="0"/>
          <w:numId w:val="2"/>
        </w:numPr>
        <w:tabs>
          <w:tab w:val="clear" w:pos="1080"/>
          <w:tab w:val="left" w:pos="-1440"/>
        </w:tabs>
        <w:ind w:left="540" w:right="180"/>
        <w:jc w:val="both"/>
        <w:rPr>
          <w:szCs w:val="23"/>
        </w:rPr>
      </w:pPr>
      <w:r>
        <w:rPr>
          <w:szCs w:val="23"/>
        </w:rPr>
        <w:t>Improvement of financial controls</w:t>
      </w:r>
    </w:p>
    <w:p w:rsidR="007E3B59" w:rsidRDefault="007E3B59" w:rsidP="007C13CB">
      <w:pPr>
        <w:ind w:right="180"/>
        <w:jc w:val="both"/>
        <w:rPr>
          <w:szCs w:val="23"/>
        </w:rPr>
      </w:pPr>
    </w:p>
    <w:p w:rsidR="007E3B59" w:rsidRDefault="007E3B59" w:rsidP="007C13CB">
      <w:pPr>
        <w:ind w:right="180"/>
        <w:jc w:val="both"/>
        <w:rPr>
          <w:szCs w:val="23"/>
        </w:rPr>
      </w:pPr>
      <w:r>
        <w:rPr>
          <w:b/>
          <w:szCs w:val="23"/>
        </w:rPr>
        <w:t>MAXIMUM GRANT AMOUNT:</w:t>
      </w:r>
      <w:r w:rsidR="00833BC5">
        <w:rPr>
          <w:szCs w:val="23"/>
        </w:rPr>
        <w:t xml:space="preserve"> $20</w:t>
      </w:r>
      <w:bookmarkStart w:id="0" w:name="_GoBack"/>
      <w:bookmarkEnd w:id="0"/>
      <w:r w:rsidR="00FF3D12">
        <w:rPr>
          <w:szCs w:val="23"/>
        </w:rPr>
        <w:t xml:space="preserve">,000 </w:t>
      </w:r>
      <w:r>
        <w:rPr>
          <w:szCs w:val="23"/>
        </w:rPr>
        <w:t>per applicant / business, matched on a dollar-for-dollar basis.</w:t>
      </w:r>
    </w:p>
    <w:p w:rsidR="007E3B59" w:rsidRDefault="007E3B59" w:rsidP="007C13CB">
      <w:pPr>
        <w:ind w:right="180"/>
        <w:jc w:val="both"/>
        <w:rPr>
          <w:szCs w:val="23"/>
        </w:rPr>
      </w:pPr>
    </w:p>
    <w:p w:rsidR="007E3B59" w:rsidRDefault="007E3B59" w:rsidP="007C13CB">
      <w:pPr>
        <w:ind w:right="180"/>
        <w:jc w:val="both"/>
        <w:rPr>
          <w:szCs w:val="23"/>
        </w:rPr>
      </w:pPr>
      <w:r>
        <w:rPr>
          <w:b/>
          <w:szCs w:val="23"/>
        </w:rPr>
        <w:t>APPLICATION PROCEDURE:</w:t>
      </w:r>
      <w:r>
        <w:rPr>
          <w:szCs w:val="23"/>
        </w:rPr>
        <w:tab/>
        <w:t xml:space="preserve">Applications </w:t>
      </w:r>
      <w:r w:rsidR="00FE5BA3">
        <w:rPr>
          <w:szCs w:val="23"/>
        </w:rPr>
        <w:t>are</w:t>
      </w:r>
      <w:r>
        <w:rPr>
          <w:szCs w:val="23"/>
        </w:rPr>
        <w:t xml:space="preserve"> accepted by PERC, subject to the availability of funds, throughout th</w:t>
      </w:r>
      <w:r w:rsidR="00FE5BA3">
        <w:rPr>
          <w:szCs w:val="23"/>
        </w:rPr>
        <w:t>e year</w:t>
      </w:r>
      <w:r>
        <w:rPr>
          <w:szCs w:val="23"/>
        </w:rPr>
        <w:t>.</w:t>
      </w:r>
      <w:r w:rsidR="00FE5BA3">
        <w:rPr>
          <w:szCs w:val="23"/>
        </w:rPr>
        <w:t xml:space="preserve">  They are reviewed by PERC’s Technical Assistance Committee prior to a recommendation being made to the Board of Directors.</w:t>
      </w:r>
    </w:p>
    <w:p w:rsidR="007E3B59" w:rsidRDefault="007E3B59" w:rsidP="007C13CB">
      <w:pPr>
        <w:ind w:right="180"/>
        <w:jc w:val="both"/>
        <w:rPr>
          <w:szCs w:val="23"/>
        </w:rPr>
      </w:pPr>
      <w:r>
        <w:rPr>
          <w:szCs w:val="23"/>
        </w:rPr>
        <w:t xml:space="preserve"> </w:t>
      </w:r>
    </w:p>
    <w:p w:rsidR="007E3B59" w:rsidRDefault="007E3B59" w:rsidP="007C13CB">
      <w:pPr>
        <w:ind w:right="180"/>
        <w:jc w:val="both"/>
        <w:rPr>
          <w:szCs w:val="23"/>
        </w:rPr>
      </w:pPr>
      <w:r>
        <w:rPr>
          <w:szCs w:val="23"/>
        </w:rPr>
        <w:t>The application shall include a statement of the purpose of the Technical Assistance Grant and benefit to be realized.  Completed applications shall be accompanied by appropriate documentation supporting the request, including, as applicable:</w:t>
      </w:r>
    </w:p>
    <w:p w:rsidR="007E3B59" w:rsidRDefault="007E3B59" w:rsidP="00686716">
      <w:pPr>
        <w:pStyle w:val="a0"/>
        <w:widowControl/>
        <w:numPr>
          <w:ilvl w:val="0"/>
          <w:numId w:val="11"/>
        </w:numPr>
        <w:tabs>
          <w:tab w:val="clear" w:pos="1080"/>
          <w:tab w:val="left" w:pos="-1440"/>
        </w:tabs>
        <w:ind w:left="990" w:right="180" w:hanging="450"/>
        <w:jc w:val="both"/>
        <w:rPr>
          <w:szCs w:val="23"/>
        </w:rPr>
      </w:pPr>
      <w:r>
        <w:rPr>
          <w:szCs w:val="23"/>
        </w:rPr>
        <w:t>proposal from the consultant with a description of services to be provided;</w:t>
      </w:r>
    </w:p>
    <w:p w:rsidR="007E3B59" w:rsidRDefault="007E3B59" w:rsidP="00686716">
      <w:pPr>
        <w:pStyle w:val="a0"/>
        <w:widowControl/>
        <w:numPr>
          <w:ilvl w:val="0"/>
          <w:numId w:val="11"/>
        </w:numPr>
        <w:tabs>
          <w:tab w:val="clear" w:pos="1080"/>
          <w:tab w:val="left" w:pos="-1440"/>
        </w:tabs>
        <w:ind w:left="990" w:right="180" w:hanging="450"/>
        <w:jc w:val="both"/>
        <w:rPr>
          <w:szCs w:val="23"/>
        </w:rPr>
      </w:pPr>
      <w:r>
        <w:rPr>
          <w:szCs w:val="23"/>
        </w:rPr>
        <w:t>documentation of the consultant’s expertise;</w:t>
      </w:r>
    </w:p>
    <w:p w:rsidR="007E3B59" w:rsidRDefault="007E3B59" w:rsidP="00686716">
      <w:pPr>
        <w:pStyle w:val="a0"/>
        <w:widowControl/>
        <w:numPr>
          <w:ilvl w:val="0"/>
          <w:numId w:val="11"/>
        </w:numPr>
        <w:tabs>
          <w:tab w:val="clear" w:pos="1080"/>
          <w:tab w:val="left" w:pos="-1440"/>
        </w:tabs>
        <w:ind w:left="990" w:right="180" w:hanging="450"/>
        <w:jc w:val="both"/>
        <w:rPr>
          <w:szCs w:val="23"/>
        </w:rPr>
      </w:pPr>
      <w:r>
        <w:rPr>
          <w:szCs w:val="23"/>
        </w:rPr>
        <w:t>budget and price quote;</w:t>
      </w:r>
    </w:p>
    <w:p w:rsidR="007E3B59" w:rsidRDefault="007E3B59" w:rsidP="00686716">
      <w:pPr>
        <w:pStyle w:val="a0"/>
        <w:widowControl/>
        <w:numPr>
          <w:ilvl w:val="0"/>
          <w:numId w:val="11"/>
        </w:numPr>
        <w:tabs>
          <w:tab w:val="clear" w:pos="1080"/>
          <w:tab w:val="left" w:pos="-1440"/>
        </w:tabs>
        <w:ind w:left="990" w:right="180" w:hanging="450"/>
        <w:jc w:val="both"/>
        <w:rPr>
          <w:szCs w:val="23"/>
        </w:rPr>
      </w:pPr>
      <w:r>
        <w:rPr>
          <w:szCs w:val="23"/>
        </w:rPr>
        <w:t>timetable for use of the grant;</w:t>
      </w:r>
    </w:p>
    <w:p w:rsidR="007E3B59" w:rsidRDefault="007E3B59" w:rsidP="00686716">
      <w:pPr>
        <w:pStyle w:val="a0"/>
        <w:widowControl/>
        <w:numPr>
          <w:ilvl w:val="0"/>
          <w:numId w:val="11"/>
        </w:numPr>
        <w:tabs>
          <w:tab w:val="clear" w:pos="1080"/>
          <w:tab w:val="left" w:pos="-1440"/>
        </w:tabs>
        <w:ind w:left="990" w:right="180" w:hanging="450"/>
        <w:jc w:val="both"/>
        <w:rPr>
          <w:szCs w:val="23"/>
        </w:rPr>
      </w:pPr>
      <w:r>
        <w:rPr>
          <w:szCs w:val="23"/>
        </w:rPr>
        <w:t>verification of the matching source of funds;</w:t>
      </w:r>
    </w:p>
    <w:p w:rsidR="007E3B59" w:rsidRDefault="007E3B59" w:rsidP="00686716">
      <w:pPr>
        <w:pStyle w:val="a0"/>
        <w:widowControl/>
        <w:numPr>
          <w:ilvl w:val="0"/>
          <w:numId w:val="11"/>
        </w:numPr>
        <w:tabs>
          <w:tab w:val="clear" w:pos="1080"/>
          <w:tab w:val="left" w:pos="-1440"/>
        </w:tabs>
        <w:ind w:left="990" w:right="180" w:hanging="450"/>
        <w:jc w:val="both"/>
        <w:rPr>
          <w:szCs w:val="23"/>
        </w:rPr>
      </w:pPr>
      <w:r>
        <w:rPr>
          <w:szCs w:val="23"/>
        </w:rPr>
        <w:t>latest tax return of micro-enterprise owner for income verification;</w:t>
      </w:r>
    </w:p>
    <w:p w:rsidR="007E3B59" w:rsidRDefault="007E3B59" w:rsidP="00686716">
      <w:pPr>
        <w:pStyle w:val="a0"/>
        <w:widowControl/>
        <w:numPr>
          <w:ilvl w:val="0"/>
          <w:numId w:val="11"/>
        </w:numPr>
        <w:tabs>
          <w:tab w:val="clear" w:pos="1080"/>
          <w:tab w:val="left" w:pos="-1440"/>
        </w:tabs>
        <w:ind w:left="990" w:right="180" w:hanging="450"/>
        <w:jc w:val="both"/>
        <w:rPr>
          <w:szCs w:val="23"/>
        </w:rPr>
      </w:pPr>
      <w:r>
        <w:rPr>
          <w:szCs w:val="23"/>
        </w:rPr>
        <w:t>business plan, if applicant is a start-up;</w:t>
      </w:r>
    </w:p>
    <w:p w:rsidR="007E3B59" w:rsidRDefault="007E3B59" w:rsidP="00686716">
      <w:pPr>
        <w:pStyle w:val="a0"/>
        <w:widowControl/>
        <w:numPr>
          <w:ilvl w:val="0"/>
          <w:numId w:val="11"/>
        </w:numPr>
        <w:tabs>
          <w:tab w:val="clear" w:pos="1080"/>
          <w:tab w:val="left" w:pos="-1440"/>
        </w:tabs>
        <w:ind w:left="990" w:right="180" w:hanging="450"/>
        <w:jc w:val="both"/>
        <w:rPr>
          <w:szCs w:val="23"/>
        </w:rPr>
      </w:pPr>
      <w:r>
        <w:rPr>
          <w:szCs w:val="23"/>
        </w:rPr>
        <w:t>other supporting documentation, as appropriate.</w:t>
      </w:r>
    </w:p>
    <w:p w:rsidR="007E3B59" w:rsidRDefault="007E3B59" w:rsidP="007C13CB">
      <w:pPr>
        <w:pStyle w:val="a"/>
        <w:widowControl/>
        <w:numPr>
          <w:ilvl w:val="0"/>
          <w:numId w:val="0"/>
        </w:numPr>
        <w:tabs>
          <w:tab w:val="left" w:pos="-1440"/>
        </w:tabs>
        <w:ind w:right="180"/>
        <w:jc w:val="both"/>
        <w:rPr>
          <w:szCs w:val="23"/>
        </w:rPr>
      </w:pPr>
    </w:p>
    <w:p w:rsidR="007E3B59" w:rsidRDefault="007E3B59" w:rsidP="007C13CB">
      <w:pPr>
        <w:keepNext/>
        <w:keepLines/>
        <w:ind w:right="180"/>
        <w:jc w:val="both"/>
        <w:rPr>
          <w:szCs w:val="23"/>
        </w:rPr>
      </w:pPr>
      <w:r>
        <w:rPr>
          <w:b/>
          <w:szCs w:val="23"/>
        </w:rPr>
        <w:t>INELIGIBLE PROJECTS:</w:t>
      </w:r>
    </w:p>
    <w:p w:rsidR="007E3B59" w:rsidRDefault="007E3B59" w:rsidP="00CF7A14">
      <w:pPr>
        <w:pStyle w:val="a0"/>
        <w:widowControl/>
        <w:numPr>
          <w:ilvl w:val="0"/>
          <w:numId w:val="5"/>
        </w:numPr>
        <w:tabs>
          <w:tab w:val="clear" w:pos="1080"/>
          <w:tab w:val="left" w:pos="-1440"/>
        </w:tabs>
        <w:ind w:left="540" w:right="180" w:hanging="360"/>
        <w:jc w:val="both"/>
        <w:rPr>
          <w:szCs w:val="23"/>
        </w:rPr>
      </w:pPr>
      <w:r>
        <w:rPr>
          <w:szCs w:val="23"/>
        </w:rPr>
        <w:t>General promotion of the community as a whole.</w:t>
      </w:r>
    </w:p>
    <w:p w:rsidR="007E3B59" w:rsidRDefault="007E3B59" w:rsidP="00CF7A14">
      <w:pPr>
        <w:pStyle w:val="a0"/>
        <w:widowControl/>
        <w:numPr>
          <w:ilvl w:val="0"/>
          <w:numId w:val="5"/>
        </w:numPr>
        <w:tabs>
          <w:tab w:val="clear" w:pos="1080"/>
          <w:tab w:val="left" w:pos="-1440"/>
        </w:tabs>
        <w:ind w:left="540" w:right="180" w:hanging="360"/>
        <w:jc w:val="both"/>
        <w:rPr>
          <w:szCs w:val="23"/>
        </w:rPr>
      </w:pPr>
      <w:r>
        <w:rPr>
          <w:szCs w:val="23"/>
        </w:rPr>
        <w:t>Assistance to professional sports teams.</w:t>
      </w:r>
    </w:p>
    <w:p w:rsidR="007E3B59" w:rsidRDefault="007E3B59" w:rsidP="00CF7A14">
      <w:pPr>
        <w:pStyle w:val="a0"/>
        <w:widowControl/>
        <w:numPr>
          <w:ilvl w:val="0"/>
          <w:numId w:val="5"/>
        </w:numPr>
        <w:tabs>
          <w:tab w:val="clear" w:pos="1080"/>
          <w:tab w:val="left" w:pos="-1440"/>
        </w:tabs>
        <w:ind w:left="540" w:right="180" w:hanging="360"/>
        <w:jc w:val="both"/>
        <w:rPr>
          <w:szCs w:val="23"/>
        </w:rPr>
      </w:pPr>
      <w:r>
        <w:rPr>
          <w:szCs w:val="23"/>
        </w:rPr>
        <w:t>Assistance to privately owned recreational facilities that serve a higher income clientele.</w:t>
      </w:r>
    </w:p>
    <w:p w:rsidR="007E3B59" w:rsidRDefault="007E3B59" w:rsidP="00CF7A14">
      <w:pPr>
        <w:pStyle w:val="a0"/>
        <w:widowControl/>
        <w:numPr>
          <w:ilvl w:val="0"/>
          <w:numId w:val="5"/>
        </w:numPr>
        <w:tabs>
          <w:tab w:val="clear" w:pos="1080"/>
          <w:tab w:val="left" w:pos="-1440"/>
        </w:tabs>
        <w:ind w:left="540" w:right="180" w:hanging="360"/>
        <w:jc w:val="both"/>
        <w:rPr>
          <w:szCs w:val="23"/>
        </w:rPr>
      </w:pPr>
      <w:r>
        <w:rPr>
          <w:szCs w:val="23"/>
        </w:rPr>
        <w:t>Acquisition of land for which the specific proposed use has not been identified.</w:t>
      </w:r>
    </w:p>
    <w:p w:rsidR="007E3B59" w:rsidRDefault="007E3B59" w:rsidP="00CF7A14">
      <w:pPr>
        <w:pStyle w:val="a0"/>
        <w:widowControl/>
        <w:numPr>
          <w:ilvl w:val="0"/>
          <w:numId w:val="5"/>
        </w:numPr>
        <w:tabs>
          <w:tab w:val="clear" w:pos="1080"/>
          <w:tab w:val="left" w:pos="-1440"/>
        </w:tabs>
        <w:ind w:left="540" w:right="180" w:hanging="360"/>
        <w:jc w:val="both"/>
        <w:rPr>
          <w:szCs w:val="23"/>
        </w:rPr>
      </w:pPr>
      <w:r>
        <w:rPr>
          <w:szCs w:val="23"/>
        </w:rPr>
        <w:t>Businesses that have unresolved non-compliance finding for previous CDBG assistance.</w:t>
      </w:r>
    </w:p>
    <w:p w:rsidR="00B758D9" w:rsidRDefault="00B758D9" w:rsidP="00B758D9">
      <w:pPr>
        <w:pStyle w:val="a0"/>
        <w:widowControl/>
        <w:tabs>
          <w:tab w:val="left" w:pos="-1440"/>
        </w:tabs>
        <w:ind w:right="180"/>
        <w:jc w:val="both"/>
        <w:rPr>
          <w:szCs w:val="23"/>
        </w:rPr>
      </w:pPr>
    </w:p>
    <w:p w:rsidR="00B758D9" w:rsidRDefault="00B758D9" w:rsidP="00B758D9">
      <w:pPr>
        <w:pStyle w:val="Footer"/>
        <w:tabs>
          <w:tab w:val="clear" w:pos="8640"/>
          <w:tab w:val="right" w:pos="10080"/>
        </w:tabs>
        <w:jc w:val="right"/>
        <w:rPr>
          <w:sz w:val="16"/>
        </w:rPr>
      </w:pPr>
      <w:r>
        <w:rPr>
          <w:sz w:val="16"/>
          <w:szCs w:val="16"/>
        </w:rPr>
        <w:fldChar w:fldCharType="begin"/>
      </w:r>
      <w:r>
        <w:rPr>
          <w:sz w:val="16"/>
          <w:szCs w:val="16"/>
        </w:rPr>
        <w:instrText xml:space="preserve"> FILENAME   \* MERGEFORMAT </w:instrText>
      </w:r>
      <w:r>
        <w:rPr>
          <w:sz w:val="16"/>
          <w:szCs w:val="16"/>
        </w:rPr>
        <w:fldChar w:fldCharType="separate"/>
      </w:r>
      <w:r>
        <w:rPr>
          <w:noProof/>
          <w:sz w:val="16"/>
          <w:szCs w:val="16"/>
        </w:rPr>
        <w:t>PERC CDBG Tech Asst Grant Policy 2018.docx</w:t>
      </w:r>
      <w:r>
        <w:rPr>
          <w:sz w:val="16"/>
          <w:szCs w:val="16"/>
        </w:rPr>
        <w:fldChar w:fldCharType="end"/>
      </w:r>
    </w:p>
    <w:p w:rsidR="00B758D9" w:rsidRDefault="00B758D9" w:rsidP="00B758D9">
      <w:pPr>
        <w:pStyle w:val="a0"/>
        <w:widowControl/>
        <w:tabs>
          <w:tab w:val="left" w:pos="-1440"/>
        </w:tabs>
        <w:ind w:right="180"/>
        <w:jc w:val="both"/>
        <w:rPr>
          <w:szCs w:val="23"/>
        </w:rPr>
      </w:pPr>
    </w:p>
    <w:p w:rsidR="007E3B59" w:rsidRDefault="007E3B59"/>
    <w:sectPr w:rsidR="007E3B59">
      <w:headerReference w:type="default" r:id="rId10"/>
      <w:pgSz w:w="12240" w:h="15840"/>
      <w:pgMar w:top="1080" w:right="900" w:bottom="1440" w:left="1080" w:header="1080" w:footer="9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C7F" w:rsidRDefault="00CA1C7F">
      <w:r>
        <w:separator/>
      </w:r>
    </w:p>
  </w:endnote>
  <w:endnote w:type="continuationSeparator" w:id="0">
    <w:p w:rsidR="00CA1C7F" w:rsidRDefault="00CA1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D25" w:rsidRDefault="00903D25" w:rsidP="00903D25">
    <w:pPr>
      <w:pStyle w:val="Footer"/>
      <w:tabs>
        <w:tab w:val="clear" w:pos="4320"/>
        <w:tab w:val="clear" w:pos="8640"/>
      </w:tabs>
      <w:jc w:val="right"/>
      <w:rPr>
        <w:noProof/>
      </w:rPr>
    </w:pPr>
    <w:r w:rsidRPr="00903D25">
      <w:t xml:space="preserve">Page </w:t>
    </w:r>
    <w:r w:rsidRPr="00903D25">
      <w:fldChar w:fldCharType="begin"/>
    </w:r>
    <w:r w:rsidRPr="00903D25">
      <w:instrText xml:space="preserve"> PAGE   \* MERGEFORMAT </w:instrText>
    </w:r>
    <w:r w:rsidRPr="00903D25">
      <w:fldChar w:fldCharType="separate"/>
    </w:r>
    <w:r w:rsidR="00833BC5">
      <w:rPr>
        <w:noProof/>
      </w:rPr>
      <w:t>2</w:t>
    </w:r>
    <w:r w:rsidRPr="00903D25">
      <w:fldChar w:fldCharType="end"/>
    </w:r>
    <w:r w:rsidRPr="00903D25">
      <w:t xml:space="preserve"> of </w:t>
    </w:r>
    <w:r w:rsidR="00833BC5">
      <w:fldChar w:fldCharType="begin"/>
    </w:r>
    <w:r w:rsidR="00833BC5">
      <w:instrText xml:space="preserve"> NUMPAGES   \* MERGEFORMAT </w:instrText>
    </w:r>
    <w:r w:rsidR="00833BC5">
      <w:fldChar w:fldCharType="separate"/>
    </w:r>
    <w:r w:rsidR="00833BC5">
      <w:rPr>
        <w:noProof/>
      </w:rPr>
      <w:t>2</w:t>
    </w:r>
    <w:r w:rsidR="00833BC5">
      <w:rPr>
        <w:noProof/>
      </w:rPr>
      <w:fldChar w:fldCharType="end"/>
    </w:r>
  </w:p>
  <w:p w:rsidR="00B758D9" w:rsidRPr="00B758D9" w:rsidRDefault="00B758D9" w:rsidP="00B758D9">
    <w:pPr>
      <w:pStyle w:val="Footer"/>
      <w:tabs>
        <w:tab w:val="clear" w:pos="4320"/>
        <w:tab w:val="clear" w:pos="8640"/>
      </w:tabs>
      <w:jc w:val="center"/>
      <w:rPr>
        <w:rFonts w:asciiTheme="minorHAnsi" w:hAnsiTheme="minorHAnsi" w:cstheme="minorHAnsi"/>
      </w:rPr>
    </w:pPr>
    <w:r w:rsidRPr="00B758D9">
      <w:rPr>
        <w:rFonts w:asciiTheme="minorHAnsi" w:hAnsiTheme="minorHAnsi" w:cstheme="minorHAnsi"/>
      </w:rPr>
      <w:t>Department of Community Development, 70 Allen Street, Pittsfield, MA  01201   www.businesspittsfield.com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C7F" w:rsidRDefault="00CA1C7F">
      <w:r>
        <w:separator/>
      </w:r>
    </w:p>
  </w:footnote>
  <w:footnote w:type="continuationSeparator" w:id="0">
    <w:p w:rsidR="00CA1C7F" w:rsidRDefault="00CA1C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8D9" w:rsidRDefault="00B758D9" w:rsidP="00B758D9">
    <w:pPr>
      <w:pBdr>
        <w:bottom w:val="single" w:sz="12" w:space="1" w:color="auto"/>
      </w:pBdr>
      <w:jc w:val="center"/>
    </w:pPr>
    <w:r w:rsidRPr="00D75342">
      <w:rPr>
        <w:noProof/>
      </w:rPr>
      <w:drawing>
        <wp:inline distT="0" distB="0" distL="0" distR="0" wp14:anchorId="0B81F5BA" wp14:editId="13BCA8A8">
          <wp:extent cx="2432649" cy="912245"/>
          <wp:effectExtent l="0" t="0" r="0" b="0"/>
          <wp:docPr id="2" name="Picture 2" descr="C:\Users\lmick\AppData\Local\Temp\Temp1_PERC with tag - print.zip\PERC_logo_trans_high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mick\AppData\Local\Temp\Temp1_PERC with tag - print.zip\PERC_logo_trans_highr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42498" cy="953438"/>
                  </a:xfrm>
                  <a:prstGeom prst="rect">
                    <a:avLst/>
                  </a:prstGeom>
                  <a:noFill/>
                  <a:ln>
                    <a:noFill/>
                  </a:ln>
                </pic:spPr>
              </pic:pic>
            </a:graphicData>
          </a:graphic>
        </wp:inline>
      </w:drawing>
    </w:r>
  </w:p>
  <w:p w:rsidR="00B758D9" w:rsidRPr="00D75342" w:rsidRDefault="00B758D9" w:rsidP="00B758D9">
    <w:pPr>
      <w:pStyle w:val="NoSpacing"/>
      <w:rPr>
        <w:rFonts w:ascii="Arial" w:hAnsi="Arial" w:cs="Arial"/>
        <w:sz w:val="20"/>
        <w:szCs w:val="20"/>
      </w:rPr>
    </w:pPr>
    <w:r w:rsidRPr="00D75342">
      <w:rPr>
        <w:rFonts w:ascii="Arial" w:hAnsi="Arial" w:cs="Arial"/>
        <w:sz w:val="20"/>
        <w:szCs w:val="20"/>
      </w:rPr>
      <w:t>J. Jay Anderson, President</w:t>
    </w:r>
    <w:r w:rsidRPr="00D75342">
      <w:rPr>
        <w:rFonts w:ascii="Arial" w:hAnsi="Arial" w:cs="Arial"/>
        <w:sz w:val="20"/>
        <w:szCs w:val="20"/>
      </w:rPr>
      <w:tab/>
    </w:r>
    <w:r w:rsidRPr="00D75342">
      <w:rPr>
        <w:rFonts w:ascii="Arial" w:hAnsi="Arial" w:cs="Arial"/>
        <w:sz w:val="20"/>
        <w:szCs w:val="20"/>
      </w:rPr>
      <w:tab/>
    </w:r>
    <w:r w:rsidRPr="00D75342">
      <w:rPr>
        <w:rFonts w:ascii="Arial" w:hAnsi="Arial" w:cs="Arial"/>
        <w:sz w:val="20"/>
        <w:szCs w:val="20"/>
      </w:rPr>
      <w:tab/>
    </w:r>
    <w:r w:rsidRPr="00D75342">
      <w:rPr>
        <w:rFonts w:ascii="Arial" w:hAnsi="Arial" w:cs="Arial"/>
        <w:sz w:val="20"/>
        <w:szCs w:val="20"/>
      </w:rPr>
      <w:tab/>
    </w:r>
    <w:r w:rsidRPr="00D75342">
      <w:rPr>
        <w:rFonts w:ascii="Arial" w:hAnsi="Arial" w:cs="Arial"/>
        <w:sz w:val="20"/>
        <w:szCs w:val="20"/>
      </w:rPr>
      <w:tab/>
    </w:r>
    <w:r w:rsidRPr="00D75342">
      <w:rPr>
        <w:rFonts w:ascii="Arial" w:hAnsi="Arial" w:cs="Arial"/>
        <w:sz w:val="20"/>
        <w:szCs w:val="20"/>
      </w:rPr>
      <w:tab/>
      <w:t xml:space="preserve">   </w:t>
    </w:r>
    <w:r>
      <w:rPr>
        <w:rFonts w:ascii="Arial" w:hAnsi="Arial" w:cs="Arial"/>
        <w:sz w:val="20"/>
        <w:szCs w:val="20"/>
      </w:rPr>
      <w:t xml:space="preserve">    </w:t>
    </w:r>
    <w:r w:rsidRPr="00D75342">
      <w:rPr>
        <w:rFonts w:ascii="Arial" w:hAnsi="Arial" w:cs="Arial"/>
        <w:sz w:val="20"/>
        <w:szCs w:val="20"/>
      </w:rPr>
      <w:t xml:space="preserve"> Jeffrey Belair, Treasurer</w:t>
    </w:r>
  </w:p>
  <w:p w:rsidR="00B758D9" w:rsidRPr="00D75342" w:rsidRDefault="00B758D9" w:rsidP="00B758D9">
    <w:pPr>
      <w:pStyle w:val="NoSpacing"/>
      <w:rPr>
        <w:rFonts w:ascii="Arial" w:hAnsi="Arial" w:cs="Arial"/>
        <w:sz w:val="20"/>
        <w:szCs w:val="20"/>
      </w:rPr>
    </w:pPr>
    <w:r w:rsidRPr="00D75342">
      <w:rPr>
        <w:rFonts w:ascii="Arial" w:hAnsi="Arial" w:cs="Arial"/>
        <w:sz w:val="20"/>
        <w:szCs w:val="20"/>
      </w:rPr>
      <w:t>Mark McKenna, Vice President</w:t>
    </w:r>
    <w:r w:rsidRPr="00D75342">
      <w:rPr>
        <w:rFonts w:ascii="Arial" w:hAnsi="Arial" w:cs="Arial"/>
        <w:sz w:val="20"/>
        <w:szCs w:val="20"/>
      </w:rPr>
      <w:tab/>
    </w:r>
    <w:r w:rsidRPr="00D75342">
      <w:rPr>
        <w:rFonts w:ascii="Arial" w:hAnsi="Arial" w:cs="Arial"/>
        <w:sz w:val="20"/>
        <w:szCs w:val="20"/>
      </w:rPr>
      <w:tab/>
    </w:r>
    <w:r w:rsidRPr="00D75342">
      <w:rPr>
        <w:rFonts w:ascii="Arial" w:hAnsi="Arial" w:cs="Arial"/>
        <w:sz w:val="20"/>
        <w:szCs w:val="20"/>
      </w:rPr>
      <w:tab/>
    </w:r>
    <w:r w:rsidRPr="00D75342">
      <w:rPr>
        <w:rFonts w:ascii="Arial" w:hAnsi="Arial" w:cs="Arial"/>
        <w:sz w:val="20"/>
        <w:szCs w:val="20"/>
      </w:rPr>
      <w:tab/>
      <w:t xml:space="preserve">          </w:t>
    </w:r>
    <w:r>
      <w:rPr>
        <w:rFonts w:ascii="Arial" w:hAnsi="Arial" w:cs="Arial"/>
        <w:sz w:val="20"/>
        <w:szCs w:val="20"/>
      </w:rPr>
      <w:t xml:space="preserve">                      </w:t>
    </w:r>
    <w:r w:rsidRPr="00D75342">
      <w:rPr>
        <w:rFonts w:ascii="Arial" w:hAnsi="Arial" w:cs="Arial"/>
        <w:sz w:val="20"/>
        <w:szCs w:val="20"/>
      </w:rPr>
      <w:t xml:space="preserve">  Theodore Kozlowski, Clerk</w:t>
    </w:r>
  </w:p>
  <w:p w:rsidR="007C13CB" w:rsidRDefault="007C13CB" w:rsidP="007C13CB">
    <w:pPr>
      <w:pStyle w:val="Header"/>
      <w:jc w:val="both"/>
      <w:rPr>
        <w:rFonts w:ascii="Univers" w:hAnsi="Univers"/>
        <w:b/>
        <w:bC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C13" w:rsidRDefault="00BE2C13">
    <w:pPr>
      <w:pStyle w:val="Header"/>
      <w:tabs>
        <w:tab w:val="clear" w:pos="8640"/>
        <w:tab w:val="right" w:pos="10080"/>
      </w:tabs>
      <w:jc w:val="both"/>
      <w:rPr>
        <w:rFonts w:ascii="Univers" w:hAnsi="Univers"/>
        <w:b/>
        <w:bCs/>
        <w:sz w:val="36"/>
      </w:rPr>
    </w:pPr>
    <w:smartTag w:uri="urn:schemas-microsoft-com:office:smarttags" w:element="City">
      <w:r>
        <w:rPr>
          <w:rFonts w:ascii="Univers" w:hAnsi="Univers"/>
          <w:b/>
          <w:bCs/>
          <w:sz w:val="36"/>
        </w:rPr>
        <w:t>PITTSFIELD</w:t>
      </w:r>
    </w:smartTag>
    <w:r>
      <w:rPr>
        <w:rFonts w:ascii="Univers" w:hAnsi="Univers"/>
        <w:b/>
        <w:bCs/>
        <w:sz w:val="36"/>
      </w:rPr>
      <w:t xml:space="preserve"> ECONOMIC REVITALIZATION CORPORATION</w:t>
    </w:r>
  </w:p>
  <w:p w:rsidR="00BE2C13" w:rsidRDefault="00BE2C13">
    <w:pPr>
      <w:pStyle w:val="Header"/>
      <w:tabs>
        <w:tab w:val="clear" w:pos="8640"/>
        <w:tab w:val="right" w:pos="10080"/>
      </w:tabs>
      <w:jc w:val="both"/>
      <w:rPr>
        <w:rFonts w:ascii="Univers" w:hAnsi="Univers"/>
        <w:b/>
        <w:bCs/>
      </w:rPr>
    </w:pPr>
    <w:smartTag w:uri="urn:schemas-microsoft-com:office:smarttags" w:element="Street">
      <w:smartTag w:uri="urn:schemas-microsoft-com:office:smarttags" w:element="address">
        <w:r>
          <w:rPr>
            <w:rFonts w:ascii="Univers" w:hAnsi="Univers"/>
            <w:b/>
            <w:bCs/>
          </w:rPr>
          <w:t>70 Allen Street</w:t>
        </w:r>
      </w:smartTag>
    </w:smartTag>
    <w:r>
      <w:rPr>
        <w:rFonts w:ascii="Univers" w:hAnsi="Univers"/>
        <w:b/>
        <w:bCs/>
      </w:rPr>
      <w:t>, Room 205</w:t>
    </w:r>
  </w:p>
  <w:p w:rsidR="00BE2C13" w:rsidRDefault="00BE2C13">
    <w:pPr>
      <w:pStyle w:val="Header"/>
      <w:tabs>
        <w:tab w:val="clear" w:pos="8640"/>
        <w:tab w:val="right" w:pos="10080"/>
      </w:tabs>
      <w:jc w:val="both"/>
      <w:rPr>
        <w:rFonts w:ascii="Univers" w:hAnsi="Univers"/>
        <w:b/>
        <w:bCs/>
      </w:rPr>
    </w:pPr>
    <w:smartTag w:uri="urn:schemas-microsoft-com:office:smarttags" w:element="place">
      <w:smartTag w:uri="urn:schemas-microsoft-com:office:smarttags" w:element="City">
        <w:r>
          <w:rPr>
            <w:rFonts w:ascii="Univers" w:hAnsi="Univers"/>
            <w:b/>
            <w:bCs/>
          </w:rPr>
          <w:t>Pittsfield</w:t>
        </w:r>
      </w:smartTag>
      <w:r>
        <w:rPr>
          <w:rFonts w:ascii="Univers" w:hAnsi="Univers"/>
          <w:b/>
          <w:bCs/>
        </w:rPr>
        <w:t xml:space="preserve">, </w:t>
      </w:r>
      <w:smartTag w:uri="urn:schemas-microsoft-com:office:smarttags" w:element="State">
        <w:r>
          <w:rPr>
            <w:rFonts w:ascii="Univers" w:hAnsi="Univers"/>
            <w:b/>
            <w:bCs/>
          </w:rPr>
          <w:t>Massachusetts</w:t>
        </w:r>
      </w:smartTag>
      <w:r>
        <w:rPr>
          <w:rFonts w:ascii="Univers" w:hAnsi="Univers"/>
          <w:b/>
          <w:bCs/>
        </w:rPr>
        <w:t xml:space="preserve"> </w:t>
      </w:r>
      <w:smartTag w:uri="urn:schemas-microsoft-com:office:smarttags" w:element="PostalCode">
        <w:r>
          <w:rPr>
            <w:rFonts w:ascii="Univers" w:hAnsi="Univers"/>
            <w:b/>
            <w:bCs/>
          </w:rPr>
          <w:t>01201</w:t>
        </w:r>
      </w:smartTag>
    </w:smartTag>
  </w:p>
  <w:p w:rsidR="00BE2C13" w:rsidRDefault="00BE2C13">
    <w:pPr>
      <w:pStyle w:val="Header"/>
      <w:tabs>
        <w:tab w:val="clear" w:pos="8640"/>
        <w:tab w:val="right" w:pos="10080"/>
      </w:tabs>
      <w:jc w:val="both"/>
      <w:rPr>
        <w:rFonts w:ascii="Univers" w:hAnsi="Univers"/>
        <w:b/>
        <w:bCs/>
      </w:rPr>
    </w:pPr>
    <w:r>
      <w:rPr>
        <w:rFonts w:ascii="Univers" w:hAnsi="Univers"/>
        <w:b/>
        <w:bCs/>
      </w:rPr>
      <w:t>(413) 499-9371</w:t>
    </w:r>
  </w:p>
  <w:p w:rsidR="00BE2C13" w:rsidRDefault="00BE2C13" w:rsidP="00B967DA">
    <w:pPr>
      <w:pStyle w:val="Header"/>
      <w:tabs>
        <w:tab w:val="clear" w:pos="8640"/>
        <w:tab w:val="right" w:pos="10080"/>
      </w:tabs>
      <w:jc w:val="both"/>
      <w:rPr>
        <w:rFonts w:ascii="Univers" w:hAnsi="Univers"/>
        <w:b/>
        <w:bCs/>
      </w:rPr>
    </w:pPr>
    <w:r>
      <w:rPr>
        <w:rFonts w:ascii="Univers" w:hAnsi="Univers"/>
        <w:b/>
        <w:bCs/>
      </w:rPr>
      <w:t xml:space="preserve">(413) </w:t>
    </w:r>
    <w:r w:rsidR="00443B2C">
      <w:rPr>
        <w:rFonts w:ascii="Univers" w:hAnsi="Univers"/>
        <w:b/>
        <w:bCs/>
      </w:rPr>
      <w:t xml:space="preserve">395-0152 </w:t>
    </w:r>
    <w:r>
      <w:rPr>
        <w:rFonts w:ascii="Univers" w:hAnsi="Univers"/>
        <w:b/>
        <w:bCs/>
      </w:rPr>
      <w:t>Fax</w:t>
    </w:r>
    <w:r w:rsidR="00B967DA">
      <w:rPr>
        <w:rFonts w:ascii="Univers" w:hAnsi="Univers"/>
        <w:b/>
        <w:bCs/>
      </w:rPr>
      <w:tab/>
    </w:r>
    <w:r w:rsidR="00B967DA">
      <w:rPr>
        <w:rFonts w:ascii="Univers" w:hAnsi="Univers"/>
        <w:b/>
        <w:bCs/>
      </w:rPr>
      <w:tab/>
      <w:t>PERCloans.com</w:t>
    </w:r>
  </w:p>
  <w:p w:rsidR="00BE2C13" w:rsidRDefault="00BE2C13">
    <w:pPr>
      <w:pStyle w:val="Header"/>
      <w:pBdr>
        <w:bottom w:val="single" w:sz="12" w:space="1" w:color="auto"/>
      </w:pBdr>
      <w:tabs>
        <w:tab w:val="clear" w:pos="8640"/>
        <w:tab w:val="right" w:pos="10080"/>
      </w:tabs>
      <w:jc w:val="both"/>
      <w:rPr>
        <w:rFonts w:ascii="Univers" w:hAnsi="Univers"/>
        <w:b/>
        <w:bCs/>
      </w:rPr>
    </w:pPr>
  </w:p>
  <w:p w:rsidR="00BE2C13" w:rsidRDefault="00BE2C13">
    <w:pPr>
      <w:pStyle w:val="Header"/>
      <w:tabs>
        <w:tab w:val="clear" w:pos="8640"/>
        <w:tab w:val="right" w:pos="10620"/>
      </w:tabs>
      <w:jc w:val="both"/>
      <w:rPr>
        <w:rFonts w:ascii="Univers" w:hAnsi="Univers"/>
        <w:b/>
        <w:bCs/>
        <w:sz w:val="20"/>
      </w:rPr>
    </w:pPr>
    <w:r>
      <w:rPr>
        <w:rFonts w:ascii="Univers" w:hAnsi="Univers"/>
        <w:b/>
        <w:bCs/>
        <w:sz w:val="20"/>
      </w:rPr>
      <w:t>J. Jay Anderson, President</w:t>
    </w:r>
    <w:r>
      <w:rPr>
        <w:rFonts w:ascii="Univers" w:hAnsi="Univers"/>
        <w:b/>
        <w:bCs/>
        <w:sz w:val="20"/>
      </w:rPr>
      <w:tab/>
    </w:r>
    <w:r>
      <w:rPr>
        <w:rFonts w:ascii="Univers" w:hAnsi="Univers"/>
        <w:b/>
        <w:bCs/>
        <w:sz w:val="20"/>
      </w:rPr>
      <w:tab/>
      <w:t>Clerk</w:t>
    </w:r>
  </w:p>
  <w:p w:rsidR="00BE2C13" w:rsidRDefault="00712298">
    <w:pPr>
      <w:pStyle w:val="Header"/>
      <w:pBdr>
        <w:bottom w:val="single" w:sz="12" w:space="1" w:color="auto"/>
      </w:pBdr>
      <w:tabs>
        <w:tab w:val="clear" w:pos="8640"/>
        <w:tab w:val="right" w:pos="10620"/>
      </w:tabs>
      <w:jc w:val="both"/>
      <w:rPr>
        <w:rFonts w:ascii="Univers" w:hAnsi="Univers"/>
        <w:b/>
        <w:bCs/>
        <w:sz w:val="20"/>
      </w:rPr>
    </w:pPr>
    <w:r>
      <w:rPr>
        <w:rFonts w:ascii="Univers" w:hAnsi="Univers"/>
        <w:b/>
        <w:bCs/>
        <w:sz w:val="20"/>
      </w:rPr>
      <w:t>Mark McKenna</w:t>
    </w:r>
    <w:r w:rsidR="00C16439">
      <w:rPr>
        <w:rFonts w:ascii="Univers" w:hAnsi="Univers"/>
        <w:b/>
        <w:bCs/>
        <w:sz w:val="20"/>
      </w:rPr>
      <w:t>, Vice President</w:t>
    </w:r>
    <w:r w:rsidR="00BE2C13">
      <w:rPr>
        <w:rFonts w:ascii="Univers" w:hAnsi="Univers"/>
        <w:b/>
        <w:bCs/>
        <w:sz w:val="20"/>
      </w:rPr>
      <w:tab/>
    </w:r>
    <w:r w:rsidR="00BE2C13">
      <w:rPr>
        <w:rFonts w:ascii="Univers" w:hAnsi="Univers"/>
        <w:b/>
        <w:bCs/>
        <w:sz w:val="20"/>
      </w:rPr>
      <w:tab/>
      <w:t xml:space="preserve">Barry J. </w:t>
    </w:r>
    <w:proofErr w:type="spellStart"/>
    <w:r w:rsidR="00BE2C13">
      <w:rPr>
        <w:rFonts w:ascii="Univers" w:hAnsi="Univers"/>
        <w:b/>
        <w:bCs/>
        <w:sz w:val="20"/>
      </w:rPr>
      <w:t>Clairmont</w:t>
    </w:r>
    <w:proofErr w:type="spellEnd"/>
    <w:r w:rsidR="00BE2C13">
      <w:rPr>
        <w:rFonts w:ascii="Univers" w:hAnsi="Univers"/>
        <w:b/>
        <w:bCs/>
        <w:sz w:val="20"/>
      </w:rPr>
      <w:t>, Treasurer</w:t>
    </w:r>
  </w:p>
  <w:p w:rsidR="00BE2C13" w:rsidRDefault="00BE2C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C13" w:rsidRDefault="00BE2C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lowerLetter"/>
      <w:pStyle w:val="a"/>
      <w:lvlText w:val="%1."/>
      <w:lvlJc w:val="left"/>
      <w:pPr>
        <w:tabs>
          <w:tab w:val="num" w:pos="1440"/>
        </w:tabs>
      </w:pPr>
      <w:rPr>
        <w:rFonts w:ascii="Times New Roman" w:hAnsi="Times New Roman"/>
        <w:sz w:val="24"/>
      </w:rPr>
    </w:lvl>
  </w:abstractNum>
  <w:abstractNum w:abstractNumId="1" w15:restartNumberingAfterBreak="0">
    <w:nsid w:val="0B625617"/>
    <w:multiLevelType w:val="hybridMultilevel"/>
    <w:tmpl w:val="0E2E6DE0"/>
    <w:lvl w:ilvl="0" w:tplc="04090001">
      <w:start w:val="1"/>
      <w:numFmt w:val="bullet"/>
      <w:lvlText w:val=""/>
      <w:lvlJc w:val="left"/>
      <w:pPr>
        <w:tabs>
          <w:tab w:val="num" w:pos="1080"/>
        </w:tabs>
        <w:ind w:left="108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C0684D"/>
    <w:multiLevelType w:val="hybridMultilevel"/>
    <w:tmpl w:val="B9E88AC4"/>
    <w:lvl w:ilvl="0" w:tplc="CB983428">
      <w:numFmt w:val="bullet"/>
      <w:lvlText w:val=""/>
      <w:lvlJc w:val="left"/>
      <w:pPr>
        <w:tabs>
          <w:tab w:val="num" w:pos="1080"/>
        </w:tabs>
        <w:ind w:left="1080" w:hanging="72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647A12"/>
    <w:multiLevelType w:val="hybridMultilevel"/>
    <w:tmpl w:val="C8EEEC0C"/>
    <w:lvl w:ilvl="0" w:tplc="04090001">
      <w:start w:val="1"/>
      <w:numFmt w:val="bullet"/>
      <w:lvlText w:val=""/>
      <w:lvlJc w:val="left"/>
      <w:pPr>
        <w:tabs>
          <w:tab w:val="num" w:pos="1080"/>
        </w:tabs>
        <w:ind w:left="108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906EE7"/>
    <w:multiLevelType w:val="hybridMultilevel"/>
    <w:tmpl w:val="C596C00A"/>
    <w:lvl w:ilvl="0" w:tplc="04090001">
      <w:start w:val="1"/>
      <w:numFmt w:val="bullet"/>
      <w:lvlText w:val=""/>
      <w:lvlJc w:val="left"/>
      <w:pPr>
        <w:tabs>
          <w:tab w:val="num" w:pos="1080"/>
        </w:tabs>
        <w:ind w:left="108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3F09BA"/>
    <w:multiLevelType w:val="hybridMultilevel"/>
    <w:tmpl w:val="AD0419E6"/>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E1B3217"/>
    <w:multiLevelType w:val="hybridMultilevel"/>
    <w:tmpl w:val="BF5A656A"/>
    <w:lvl w:ilvl="0" w:tplc="04090001">
      <w:start w:val="1"/>
      <w:numFmt w:val="bullet"/>
      <w:lvlText w:val=""/>
      <w:lvlJc w:val="left"/>
      <w:pPr>
        <w:tabs>
          <w:tab w:val="num" w:pos="1080"/>
        </w:tabs>
        <w:ind w:left="108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53144B"/>
    <w:multiLevelType w:val="hybridMultilevel"/>
    <w:tmpl w:val="E93E86F0"/>
    <w:lvl w:ilvl="0" w:tplc="0409000F">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8A04115"/>
    <w:multiLevelType w:val="hybridMultilevel"/>
    <w:tmpl w:val="1A5A6418"/>
    <w:lvl w:ilvl="0" w:tplc="0EDEDB6A">
      <w:start w:val="1"/>
      <w:numFmt w:val="decimal"/>
      <w:lvlText w:val="(%1)"/>
      <w:lvlJc w:val="left"/>
      <w:pPr>
        <w:tabs>
          <w:tab w:val="num" w:pos="1080"/>
        </w:tabs>
        <w:ind w:left="1080" w:hanging="360"/>
      </w:pPr>
      <w:rPr>
        <w:rFonts w:ascii="Times New Roman" w:eastAsia="Times New Roman" w:hAnsi="Times New Roman" w:cs="Times New Roman" w:hint="default"/>
        <w:w w:val="99"/>
        <w:sz w:val="20"/>
        <w:szCs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D06715B"/>
    <w:multiLevelType w:val="hybridMultilevel"/>
    <w:tmpl w:val="031466D2"/>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A64114A"/>
    <w:multiLevelType w:val="hybridMultilevel"/>
    <w:tmpl w:val="E93E86F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startOverride w:val="1"/>
      <w:lvl w:ilvl="0">
        <w:start w:val="1"/>
        <w:numFmt w:val="decimal"/>
        <w:pStyle w:val="a"/>
        <w:lvlText w:val="%1."/>
        <w:lvlJc w:val="left"/>
      </w:lvl>
    </w:lvlOverride>
  </w:num>
  <w:num w:numId="2">
    <w:abstractNumId w:val="10"/>
  </w:num>
  <w:num w:numId="3">
    <w:abstractNumId w:val="2"/>
  </w:num>
  <w:num w:numId="4">
    <w:abstractNumId w:val="7"/>
  </w:num>
  <w:num w:numId="5">
    <w:abstractNumId w:val="3"/>
  </w:num>
  <w:num w:numId="6">
    <w:abstractNumId w:val="6"/>
  </w:num>
  <w:num w:numId="7">
    <w:abstractNumId w:val="9"/>
  </w:num>
  <w:num w:numId="8">
    <w:abstractNumId w:val="1"/>
  </w:num>
  <w:num w:numId="9">
    <w:abstractNumId w:val="5"/>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BA3"/>
    <w:rsid w:val="00017A71"/>
    <w:rsid w:val="00133DBE"/>
    <w:rsid w:val="001527AD"/>
    <w:rsid w:val="001B19B0"/>
    <w:rsid w:val="00214BD3"/>
    <w:rsid w:val="00413758"/>
    <w:rsid w:val="00443B2C"/>
    <w:rsid w:val="00457D67"/>
    <w:rsid w:val="00522EAD"/>
    <w:rsid w:val="0053383F"/>
    <w:rsid w:val="00562638"/>
    <w:rsid w:val="005E09A2"/>
    <w:rsid w:val="00644EB1"/>
    <w:rsid w:val="00645DC2"/>
    <w:rsid w:val="00686716"/>
    <w:rsid w:val="006A71BA"/>
    <w:rsid w:val="006C775F"/>
    <w:rsid w:val="00712298"/>
    <w:rsid w:val="007A45C8"/>
    <w:rsid w:val="007A45EC"/>
    <w:rsid w:val="007C13CB"/>
    <w:rsid w:val="007E3B59"/>
    <w:rsid w:val="00811C30"/>
    <w:rsid w:val="00833BC5"/>
    <w:rsid w:val="008B1876"/>
    <w:rsid w:val="00903D25"/>
    <w:rsid w:val="00A555B9"/>
    <w:rsid w:val="00A71EDF"/>
    <w:rsid w:val="00AB3496"/>
    <w:rsid w:val="00AD2D85"/>
    <w:rsid w:val="00AE1458"/>
    <w:rsid w:val="00B01998"/>
    <w:rsid w:val="00B758D9"/>
    <w:rsid w:val="00B8123F"/>
    <w:rsid w:val="00B81737"/>
    <w:rsid w:val="00B91826"/>
    <w:rsid w:val="00B94DE6"/>
    <w:rsid w:val="00B95B3E"/>
    <w:rsid w:val="00B967DA"/>
    <w:rsid w:val="00BC1E5B"/>
    <w:rsid w:val="00BE2C13"/>
    <w:rsid w:val="00C16439"/>
    <w:rsid w:val="00CA1C7F"/>
    <w:rsid w:val="00CD5FD4"/>
    <w:rsid w:val="00CF7A14"/>
    <w:rsid w:val="00D37E52"/>
    <w:rsid w:val="00E1775C"/>
    <w:rsid w:val="00E85267"/>
    <w:rsid w:val="00FA02A3"/>
    <w:rsid w:val="00FB71D1"/>
    <w:rsid w:val="00FE5BA3"/>
    <w:rsid w:val="00FF3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hapeDefaults>
    <o:shapedefaults v:ext="edit" spidmax="26625"/>
    <o:shapelayout v:ext="edit">
      <o:idmap v:ext="edit" data="1"/>
    </o:shapelayout>
  </w:shapeDefaults>
  <w:decimalSymbol w:val="."/>
  <w:listSeparator w:val=","/>
  <w14:docId w14:val="3055F214"/>
  <w15:docId w15:val="{C3A897C1-CA7E-40CC-B157-791D6EE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a0">
    <w:name w:val="_"/>
    <w:basedOn w:val="Normal"/>
    <w:pPr>
      <w:widowControl w:val="0"/>
      <w:ind w:left="1440" w:hanging="720"/>
    </w:pPr>
    <w:rPr>
      <w:snapToGrid w:val="0"/>
      <w:szCs w:val="20"/>
    </w:rPr>
  </w:style>
  <w:style w:type="paragraph" w:customStyle="1" w:styleId="a">
    <w:name w:val="a"/>
    <w:aliases w:val="b,c"/>
    <w:basedOn w:val="Normal"/>
    <w:pPr>
      <w:widowControl w:val="0"/>
      <w:numPr>
        <w:numId w:val="1"/>
      </w:numPr>
    </w:pPr>
    <w:rPr>
      <w:snapToGrid w:val="0"/>
      <w:szCs w:val="20"/>
    </w:rPr>
  </w:style>
  <w:style w:type="paragraph" w:styleId="NoSpacing">
    <w:name w:val="No Spacing"/>
    <w:uiPriority w:val="1"/>
    <w:qFormat/>
    <w:rsid w:val="00B758D9"/>
    <w:rPr>
      <w:rFonts w:asciiTheme="minorHAnsi" w:eastAsiaTheme="minorHAnsi" w:hAnsiTheme="minorHAnsi" w:cstheme="minorBidi"/>
      <w:sz w:val="22"/>
      <w:szCs w:val="22"/>
    </w:rPr>
  </w:style>
  <w:style w:type="paragraph" w:styleId="BalloonText">
    <w:name w:val="Balloon Text"/>
    <w:basedOn w:val="Normal"/>
    <w:link w:val="BalloonTextChar"/>
    <w:semiHidden/>
    <w:unhideWhenUsed/>
    <w:rsid w:val="00833BC5"/>
    <w:rPr>
      <w:rFonts w:ascii="Segoe UI" w:hAnsi="Segoe UI" w:cs="Segoe UI"/>
      <w:sz w:val="18"/>
      <w:szCs w:val="18"/>
    </w:rPr>
  </w:style>
  <w:style w:type="character" w:customStyle="1" w:styleId="BalloonTextChar">
    <w:name w:val="Balloon Text Char"/>
    <w:basedOn w:val="DefaultParagraphFont"/>
    <w:link w:val="BalloonText"/>
    <w:semiHidden/>
    <w:rsid w:val="00833B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obrowolski\Application%20Data\Microsoft\Templates\PERC%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PERC Letterhead.dot</Template>
  <TotalTime>11</TotalTime>
  <Pages>2</Pages>
  <Words>628</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City of Pittsfield</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adobrowolski</dc:creator>
  <cp:lastModifiedBy>Mick, Laura</cp:lastModifiedBy>
  <cp:revision>4</cp:revision>
  <cp:lastPrinted>2022-10-27T15:03:00Z</cp:lastPrinted>
  <dcterms:created xsi:type="dcterms:W3CDTF">2022-06-29T15:09:00Z</dcterms:created>
  <dcterms:modified xsi:type="dcterms:W3CDTF">2022-10-27T15:03:00Z</dcterms:modified>
</cp:coreProperties>
</file>