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03" w:rsidRDefault="00516603" w:rsidP="00516603">
      <w:pPr>
        <w:pBdr>
          <w:bottom w:val="single" w:sz="12" w:space="1" w:color="auto"/>
        </w:pBdr>
        <w:jc w:val="center"/>
      </w:pPr>
      <w:r w:rsidRPr="00D75342">
        <w:rPr>
          <w:noProof/>
        </w:rPr>
        <w:drawing>
          <wp:inline distT="0" distB="0" distL="0" distR="0" wp14:anchorId="1EF6298E" wp14:editId="64A4F3FE">
            <wp:extent cx="2432649" cy="912245"/>
            <wp:effectExtent l="0" t="0" r="0" b="0"/>
            <wp:docPr id="2" name="Picture 2" descr="C:\Users\lmick\AppData\Local\Temp\Temp1_PERC with tag - print.zip\PERC_logo_trans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ick\AppData\Local\Temp\Temp1_PERC with tag - print.zip\PERC_logo_trans_highr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2498" cy="953438"/>
                    </a:xfrm>
                    <a:prstGeom prst="rect">
                      <a:avLst/>
                    </a:prstGeom>
                    <a:noFill/>
                    <a:ln>
                      <a:noFill/>
                    </a:ln>
                  </pic:spPr>
                </pic:pic>
              </a:graphicData>
            </a:graphic>
          </wp:inline>
        </w:drawing>
      </w:r>
    </w:p>
    <w:p w:rsidR="00516603" w:rsidRPr="00D75342" w:rsidRDefault="00516603" w:rsidP="00516603">
      <w:pPr>
        <w:pStyle w:val="NoSpacing"/>
        <w:rPr>
          <w:rFonts w:ascii="Arial" w:hAnsi="Arial" w:cs="Arial"/>
          <w:sz w:val="20"/>
          <w:szCs w:val="20"/>
        </w:rPr>
      </w:pPr>
      <w:r w:rsidRPr="00D75342">
        <w:rPr>
          <w:rFonts w:ascii="Arial" w:hAnsi="Arial" w:cs="Arial"/>
          <w:sz w:val="20"/>
          <w:szCs w:val="20"/>
        </w:rPr>
        <w:t>J. Jay Anderson, President</w:t>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t xml:space="preserve">   </w:t>
      </w:r>
      <w:r>
        <w:rPr>
          <w:rFonts w:ascii="Arial" w:hAnsi="Arial" w:cs="Arial"/>
          <w:sz w:val="20"/>
          <w:szCs w:val="20"/>
        </w:rPr>
        <w:t xml:space="preserve">    </w:t>
      </w:r>
      <w:r w:rsidRPr="00D75342">
        <w:rPr>
          <w:rFonts w:ascii="Arial" w:hAnsi="Arial" w:cs="Arial"/>
          <w:sz w:val="20"/>
          <w:szCs w:val="20"/>
        </w:rPr>
        <w:t xml:space="preserve"> Jeffrey Belair, Treasurer</w:t>
      </w:r>
    </w:p>
    <w:p w:rsidR="00516603" w:rsidRPr="00D75342" w:rsidRDefault="00516603" w:rsidP="00516603">
      <w:pPr>
        <w:pStyle w:val="NoSpacing"/>
        <w:rPr>
          <w:rFonts w:ascii="Arial" w:hAnsi="Arial" w:cs="Arial"/>
          <w:sz w:val="20"/>
          <w:szCs w:val="20"/>
        </w:rPr>
      </w:pPr>
      <w:r w:rsidRPr="00D75342">
        <w:rPr>
          <w:rFonts w:ascii="Arial" w:hAnsi="Arial" w:cs="Arial"/>
          <w:sz w:val="20"/>
          <w:szCs w:val="20"/>
        </w:rPr>
        <w:t>Mark McKenna, Vice President</w:t>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t xml:space="preserve">          </w:t>
      </w:r>
      <w:r>
        <w:rPr>
          <w:rFonts w:ascii="Arial" w:hAnsi="Arial" w:cs="Arial"/>
          <w:sz w:val="20"/>
          <w:szCs w:val="20"/>
        </w:rPr>
        <w:t xml:space="preserve">                      </w:t>
      </w:r>
      <w:r w:rsidRPr="00D75342">
        <w:rPr>
          <w:rFonts w:ascii="Arial" w:hAnsi="Arial" w:cs="Arial"/>
          <w:sz w:val="20"/>
          <w:szCs w:val="20"/>
        </w:rPr>
        <w:t xml:space="preserve">  Theodore Kozlowski, Clerk</w:t>
      </w:r>
    </w:p>
    <w:p w:rsidR="00516603" w:rsidRDefault="00516603" w:rsidP="00516603">
      <w:pPr>
        <w:rPr>
          <w:sz w:val="20"/>
          <w:szCs w:val="20"/>
        </w:rPr>
      </w:pPr>
    </w:p>
    <w:p w:rsidR="00F8452C" w:rsidRDefault="00F8452C">
      <w:pPr>
        <w:tabs>
          <w:tab w:val="center" w:pos="4786"/>
        </w:tabs>
        <w:jc w:val="both"/>
        <w:rPr>
          <w:sz w:val="23"/>
        </w:rPr>
      </w:pPr>
    </w:p>
    <w:p w:rsidR="00F8452C" w:rsidRDefault="00F8452C">
      <w:pPr>
        <w:tabs>
          <w:tab w:val="center" w:pos="4786"/>
        </w:tabs>
        <w:jc w:val="both"/>
        <w:rPr>
          <w:b/>
          <w:sz w:val="31"/>
        </w:rPr>
      </w:pPr>
      <w:r>
        <w:rPr>
          <w:sz w:val="23"/>
        </w:rPr>
        <w:tab/>
      </w:r>
      <w:r>
        <w:rPr>
          <w:b/>
          <w:sz w:val="31"/>
        </w:rPr>
        <w:t>COMMUNITY DEVELOPMENT</w:t>
      </w:r>
    </w:p>
    <w:p w:rsidR="00F8452C" w:rsidRDefault="00F8452C">
      <w:pPr>
        <w:tabs>
          <w:tab w:val="center" w:pos="4786"/>
        </w:tabs>
        <w:jc w:val="both"/>
        <w:rPr>
          <w:sz w:val="31"/>
        </w:rPr>
      </w:pPr>
      <w:r>
        <w:rPr>
          <w:b/>
          <w:sz w:val="31"/>
        </w:rPr>
        <w:tab/>
        <w:t>SMALL BUSINESS LOAN PROGRAM</w:t>
      </w:r>
    </w:p>
    <w:p w:rsidR="00F8452C" w:rsidRDefault="00F8452C">
      <w:pPr>
        <w:jc w:val="both"/>
        <w:rPr>
          <w:sz w:val="23"/>
        </w:rPr>
      </w:pPr>
    </w:p>
    <w:p w:rsidR="00F8452C" w:rsidRDefault="00F8452C">
      <w:pPr>
        <w:jc w:val="both"/>
        <w:rPr>
          <w:sz w:val="23"/>
        </w:rPr>
      </w:pPr>
      <w:r>
        <w:rPr>
          <w:b/>
          <w:sz w:val="23"/>
          <w:u w:val="single"/>
        </w:rPr>
        <w:t>GENERAL</w:t>
      </w:r>
    </w:p>
    <w:p w:rsidR="00F8452C" w:rsidRDefault="00F8452C">
      <w:pPr>
        <w:jc w:val="both"/>
        <w:rPr>
          <w:sz w:val="23"/>
        </w:rPr>
      </w:pPr>
    </w:p>
    <w:p w:rsidR="00F8452C" w:rsidRDefault="00F8452C">
      <w:pPr>
        <w:pStyle w:val="BodyTextIndent"/>
      </w:pPr>
      <w:r>
        <w:t xml:space="preserve">The Pittsfield Economic Revitalization Corporation (PERC) makes loans to qualifying companies making fixed asset investments in </w:t>
      </w:r>
      <w:smartTag w:uri="urn:schemas-microsoft-com:office:smarttags" w:element="City">
        <w:r>
          <w:t>Pittsfield</w:t>
        </w:r>
      </w:smartTag>
      <w:r>
        <w:t xml:space="preserve"> that will result </w:t>
      </w:r>
      <w:bookmarkStart w:id="0" w:name="_GoBack"/>
      <w:r>
        <w:t xml:space="preserve">in </w:t>
      </w:r>
      <w:bookmarkEnd w:id="0"/>
      <w:r>
        <w:t xml:space="preserve">the addition or retention of jobs for low- and moderate-income citizens and families.  Loans are made as "companion loans,” in conjunction with </w:t>
      </w:r>
      <w:smartTag w:uri="urn:schemas-microsoft-com:office:smarttags" w:element="State">
        <w:smartTag w:uri="urn:schemas-microsoft-com:office:smarttags" w:element="place">
          <w:r>
            <w:t>Massachusetts</w:t>
          </w:r>
        </w:smartTag>
      </w:smartTag>
      <w:r>
        <w:t xml:space="preserve"> or federal programs and/or private financing.  The loans are designed to provide financing to businesses unable to obtain such financing in the private market.  The source of funding for this program is the federal Community Development Block Grant (CDBG) made available to PERC by the City of </w:t>
      </w:r>
      <w:smartTag w:uri="urn:schemas-microsoft-com:office:smarttags" w:element="City">
        <w:r>
          <w:t>Pittsfield</w:t>
        </w:r>
      </w:smartTag>
      <w:r>
        <w:t>.</w:t>
      </w:r>
    </w:p>
    <w:p w:rsidR="00F8452C" w:rsidRDefault="00F8452C">
      <w:pPr>
        <w:jc w:val="both"/>
        <w:rPr>
          <w:sz w:val="23"/>
        </w:rPr>
      </w:pPr>
    </w:p>
    <w:p w:rsidR="00F8452C" w:rsidRDefault="00F8452C">
      <w:pPr>
        <w:jc w:val="both"/>
        <w:rPr>
          <w:b/>
          <w:sz w:val="23"/>
        </w:rPr>
      </w:pPr>
      <w:r>
        <w:rPr>
          <w:b/>
          <w:sz w:val="23"/>
          <w:u w:val="single"/>
        </w:rPr>
        <w:t>ELIGIBILITY REQUIREMENTS</w:t>
      </w:r>
    </w:p>
    <w:p w:rsidR="00F8452C" w:rsidRDefault="00F8452C">
      <w:pPr>
        <w:jc w:val="both"/>
        <w:rPr>
          <w:sz w:val="23"/>
        </w:rPr>
      </w:pPr>
    </w:p>
    <w:p w:rsidR="00F8452C" w:rsidRDefault="00F8452C">
      <w:pPr>
        <w:numPr>
          <w:ilvl w:val="0"/>
          <w:numId w:val="1"/>
        </w:numPr>
        <w:jc w:val="both"/>
        <w:rPr>
          <w:sz w:val="23"/>
        </w:rPr>
      </w:pPr>
      <w:r>
        <w:rPr>
          <w:sz w:val="23"/>
        </w:rPr>
        <w:t xml:space="preserve">Project must be located in </w:t>
      </w:r>
      <w:smartTag w:uri="urn:schemas-microsoft-com:office:smarttags" w:element="City">
        <w:r>
          <w:rPr>
            <w:sz w:val="23"/>
          </w:rPr>
          <w:t>Pittsfield</w:t>
        </w:r>
      </w:smartTag>
    </w:p>
    <w:p w:rsidR="00F8452C" w:rsidRDefault="00F8452C">
      <w:pPr>
        <w:numPr>
          <w:ilvl w:val="0"/>
          <w:numId w:val="1"/>
        </w:numPr>
        <w:jc w:val="both"/>
        <w:rPr>
          <w:sz w:val="23"/>
        </w:rPr>
      </w:pPr>
      <w:r>
        <w:rPr>
          <w:sz w:val="23"/>
        </w:rPr>
        <w:t>Company must meet the following definition of a small business:</w:t>
      </w:r>
    </w:p>
    <w:p w:rsidR="00F8452C" w:rsidRDefault="00F8452C">
      <w:pPr>
        <w:ind w:left="1260" w:hanging="270"/>
        <w:jc w:val="both"/>
        <w:rPr>
          <w:sz w:val="23"/>
        </w:rPr>
      </w:pPr>
      <w:r>
        <w:rPr>
          <w:sz w:val="23"/>
        </w:rPr>
        <w:t>(1) Independently owned</w:t>
      </w:r>
    </w:p>
    <w:p w:rsidR="00F8452C" w:rsidRDefault="00F8452C">
      <w:pPr>
        <w:ind w:left="1260" w:hanging="270"/>
        <w:jc w:val="both"/>
        <w:rPr>
          <w:sz w:val="23"/>
        </w:rPr>
      </w:pPr>
      <w:r>
        <w:rPr>
          <w:sz w:val="23"/>
        </w:rPr>
        <w:t>(2) Does not have a net worth more than $</w:t>
      </w:r>
      <w:r w:rsidR="006D3AA9">
        <w:rPr>
          <w:sz w:val="23"/>
        </w:rPr>
        <w:t>18</w:t>
      </w:r>
      <w:r>
        <w:rPr>
          <w:sz w:val="23"/>
        </w:rPr>
        <w:t xml:space="preserve"> million</w:t>
      </w:r>
    </w:p>
    <w:p w:rsidR="00F8452C" w:rsidRDefault="00F8452C">
      <w:pPr>
        <w:ind w:left="1260" w:hanging="270"/>
        <w:jc w:val="both"/>
        <w:rPr>
          <w:sz w:val="23"/>
        </w:rPr>
      </w:pPr>
      <w:r>
        <w:rPr>
          <w:sz w:val="23"/>
        </w:rPr>
        <w:t>(3) Does not have an average income after Federal income taxes for the preceding two years in excess of $</w:t>
      </w:r>
      <w:r w:rsidR="006D3AA9">
        <w:rPr>
          <w:sz w:val="23"/>
        </w:rPr>
        <w:t>6</w:t>
      </w:r>
      <w:r>
        <w:rPr>
          <w:sz w:val="23"/>
        </w:rPr>
        <w:t xml:space="preserve"> million.</w:t>
      </w:r>
    </w:p>
    <w:p w:rsidR="00F8452C" w:rsidRDefault="00F8452C">
      <w:pPr>
        <w:numPr>
          <w:ilvl w:val="0"/>
          <w:numId w:val="1"/>
        </w:numPr>
        <w:jc w:val="both"/>
        <w:rPr>
          <w:sz w:val="23"/>
        </w:rPr>
      </w:pPr>
      <w:r>
        <w:rPr>
          <w:sz w:val="23"/>
        </w:rPr>
        <w:t>The company must document that it is unable to secure financing through conventional sources.</w:t>
      </w:r>
    </w:p>
    <w:p w:rsidR="00F8452C" w:rsidRDefault="00F8452C">
      <w:pPr>
        <w:numPr>
          <w:ilvl w:val="0"/>
          <w:numId w:val="1"/>
        </w:numPr>
        <w:jc w:val="both"/>
        <w:rPr>
          <w:sz w:val="23"/>
        </w:rPr>
      </w:pPr>
      <w:r>
        <w:rPr>
          <w:sz w:val="23"/>
        </w:rPr>
        <w:t>Applicant must create or retain at least one full-time equivalent, permanent job per $35,000 of CDBG funds used; or applicant is developing a micro-enterprise and is qualified by income to receive assistance:</w:t>
      </w:r>
    </w:p>
    <w:p w:rsidR="00F8452C" w:rsidRDefault="00F8452C">
      <w:pPr>
        <w:numPr>
          <w:ilvl w:val="1"/>
          <w:numId w:val="2"/>
        </w:numPr>
        <w:tabs>
          <w:tab w:val="num" w:pos="1080"/>
        </w:tabs>
        <w:jc w:val="both"/>
        <w:rPr>
          <w:sz w:val="23"/>
        </w:rPr>
      </w:pPr>
      <w:r>
        <w:rPr>
          <w:sz w:val="23"/>
        </w:rPr>
        <w:t xml:space="preserve">Individuals are eligible if they are </w:t>
      </w:r>
      <w:smartTag w:uri="urn:schemas-microsoft-com:office:smarttags" w:element="City">
        <w:r>
          <w:rPr>
            <w:sz w:val="23"/>
          </w:rPr>
          <w:t>Pittsfield</w:t>
        </w:r>
      </w:smartTag>
      <w:r>
        <w:rPr>
          <w:sz w:val="23"/>
        </w:rPr>
        <w:t xml:space="preserve"> residents developing a micro-enterprise (a commercial enterprise that has five or fewer employees, one or more of whom owns the enterprise) and meet low- to moderate-income guidelines.</w:t>
      </w:r>
    </w:p>
    <w:p w:rsidR="00F8452C" w:rsidRDefault="00F8452C">
      <w:pPr>
        <w:numPr>
          <w:ilvl w:val="1"/>
          <w:numId w:val="2"/>
        </w:numPr>
        <w:tabs>
          <w:tab w:val="num" w:pos="1080"/>
        </w:tabs>
        <w:jc w:val="both"/>
        <w:rPr>
          <w:sz w:val="23"/>
        </w:rPr>
      </w:pPr>
      <w:r>
        <w:rPr>
          <w:sz w:val="23"/>
        </w:rPr>
        <w:t xml:space="preserve">Applicant, if not a micro-enterprise, must guarantee that at least 51% of jobs created or retained will be held by low- or moderate-income residents of </w:t>
      </w:r>
      <w:smartTag w:uri="urn:schemas-microsoft-com:office:smarttags" w:element="City">
        <w:r>
          <w:rPr>
            <w:sz w:val="23"/>
          </w:rPr>
          <w:t>Pittsfield</w:t>
        </w:r>
      </w:smartTag>
      <w:r>
        <w:rPr>
          <w:sz w:val="23"/>
        </w:rPr>
        <w:t xml:space="preserve"> as defined by HUD income guidelines.</w:t>
      </w:r>
    </w:p>
    <w:p w:rsidR="00F8452C" w:rsidRDefault="00F8452C">
      <w:pPr>
        <w:numPr>
          <w:ilvl w:val="0"/>
          <w:numId w:val="1"/>
        </w:numPr>
        <w:jc w:val="both"/>
        <w:rPr>
          <w:sz w:val="23"/>
        </w:rPr>
      </w:pPr>
      <w:r>
        <w:rPr>
          <w:sz w:val="23"/>
        </w:rPr>
        <w:t>All loans are subject to an evaluation as defined by HUD guidelines.  The evaluation involves: (1) a verification that costs are reasonable, (2) a confirmation of other sources of funds, (3) a determination that these federal funds are not being substituted for non-federal funds, (4) a determination that the project is financially feasible, (5) a determination that the return on equity is not unreasonably high, (6) a determination that funds can be disbursed on a pro-rata basis, and (7) an assessment and documentation of public benefits.  Additional underwriting guidance is taken from the SBA 504 Standard Operating Procedure.</w:t>
      </w:r>
    </w:p>
    <w:p w:rsidR="00F8452C" w:rsidRDefault="00F8452C">
      <w:pPr>
        <w:keepNext/>
        <w:keepLines/>
        <w:jc w:val="both"/>
        <w:rPr>
          <w:sz w:val="23"/>
        </w:rPr>
      </w:pPr>
      <w:r>
        <w:rPr>
          <w:b/>
          <w:sz w:val="23"/>
          <w:u w:val="single"/>
        </w:rPr>
        <w:lastRenderedPageBreak/>
        <w:t>APPLICATION</w:t>
      </w:r>
    </w:p>
    <w:p w:rsidR="00F8452C" w:rsidRDefault="00F8452C">
      <w:pPr>
        <w:keepNext/>
        <w:keepLines/>
        <w:jc w:val="both"/>
        <w:rPr>
          <w:sz w:val="23"/>
        </w:rPr>
      </w:pPr>
    </w:p>
    <w:p w:rsidR="00F8452C" w:rsidRDefault="00F8452C">
      <w:pPr>
        <w:keepNext/>
        <w:keepLines/>
        <w:tabs>
          <w:tab w:val="left" w:pos="-1440"/>
        </w:tabs>
        <w:ind w:left="720" w:hanging="720"/>
        <w:jc w:val="both"/>
        <w:rPr>
          <w:sz w:val="23"/>
        </w:rPr>
      </w:pPr>
      <w:r>
        <w:rPr>
          <w:sz w:val="23"/>
        </w:rPr>
        <w:t>(1)</w:t>
      </w:r>
      <w:r>
        <w:rPr>
          <w:sz w:val="23"/>
        </w:rPr>
        <w:tab/>
        <w:t>The staff of the Department of Community Development (DCD) will be responsible for processing of CDBG loan applications.</w:t>
      </w:r>
    </w:p>
    <w:p w:rsidR="00F8452C" w:rsidRDefault="00F8452C">
      <w:pPr>
        <w:keepLines/>
        <w:jc w:val="both"/>
        <w:rPr>
          <w:sz w:val="23"/>
        </w:rPr>
      </w:pPr>
    </w:p>
    <w:p w:rsidR="00F8452C" w:rsidRDefault="00F8452C">
      <w:pPr>
        <w:tabs>
          <w:tab w:val="left" w:pos="-1440"/>
        </w:tabs>
        <w:ind w:left="720" w:hanging="720"/>
        <w:jc w:val="both"/>
        <w:rPr>
          <w:sz w:val="23"/>
        </w:rPr>
      </w:pPr>
      <w:r>
        <w:rPr>
          <w:sz w:val="23"/>
        </w:rPr>
        <w:t>(2)</w:t>
      </w:r>
      <w:r>
        <w:rPr>
          <w:sz w:val="23"/>
        </w:rPr>
        <w:tab/>
        <w:t>The applicant will be responsible fo</w:t>
      </w:r>
      <w:r w:rsidR="0086605E">
        <w:rPr>
          <w:sz w:val="23"/>
        </w:rPr>
        <w:t>r all costs</w:t>
      </w:r>
      <w:r>
        <w:rPr>
          <w:sz w:val="23"/>
        </w:rPr>
        <w:t xml:space="preserve"> associated with the preparation of the application and for any closing fees</w:t>
      </w:r>
      <w:r w:rsidR="0086605E">
        <w:rPr>
          <w:sz w:val="23"/>
        </w:rPr>
        <w:t>,</w:t>
      </w:r>
      <w:r w:rsidR="0086605E" w:rsidRPr="0086605E">
        <w:rPr>
          <w:sz w:val="23"/>
        </w:rPr>
        <w:t xml:space="preserve"> </w:t>
      </w:r>
      <w:r w:rsidR="0086605E">
        <w:rPr>
          <w:sz w:val="23"/>
        </w:rPr>
        <w:t>including PERC’s legal fees</w:t>
      </w:r>
      <w:r>
        <w:rPr>
          <w:sz w:val="23"/>
        </w:rPr>
        <w:t>.</w:t>
      </w:r>
    </w:p>
    <w:p w:rsidR="00F8452C" w:rsidRDefault="00F8452C">
      <w:pPr>
        <w:jc w:val="both"/>
        <w:rPr>
          <w:sz w:val="23"/>
        </w:rPr>
      </w:pPr>
    </w:p>
    <w:p w:rsidR="00F8452C" w:rsidRDefault="00F8452C">
      <w:pPr>
        <w:tabs>
          <w:tab w:val="left" w:pos="-1440"/>
        </w:tabs>
        <w:ind w:left="720" w:hanging="720"/>
        <w:jc w:val="both"/>
        <w:rPr>
          <w:sz w:val="23"/>
        </w:rPr>
      </w:pPr>
      <w:r>
        <w:rPr>
          <w:sz w:val="23"/>
        </w:rPr>
        <w:t>(3)</w:t>
      </w:r>
      <w:r>
        <w:rPr>
          <w:sz w:val="23"/>
        </w:rPr>
        <w:tab/>
        <w:t>The applicant shall pay two points at closing to PERC to cover loan processing and servicing expenses.</w:t>
      </w:r>
    </w:p>
    <w:p w:rsidR="00F8452C" w:rsidRDefault="00F8452C">
      <w:pPr>
        <w:jc w:val="both"/>
        <w:rPr>
          <w:sz w:val="23"/>
        </w:rPr>
      </w:pPr>
    </w:p>
    <w:p w:rsidR="00F8452C" w:rsidRDefault="00F8452C">
      <w:pPr>
        <w:jc w:val="both"/>
        <w:rPr>
          <w:sz w:val="23"/>
        </w:rPr>
      </w:pPr>
      <w:r>
        <w:rPr>
          <w:b/>
          <w:sz w:val="23"/>
          <w:u w:val="single"/>
        </w:rPr>
        <w:t>APPROVAL</w:t>
      </w:r>
    </w:p>
    <w:p w:rsidR="00F8452C" w:rsidRDefault="00F8452C">
      <w:pPr>
        <w:jc w:val="both"/>
        <w:rPr>
          <w:sz w:val="23"/>
        </w:rPr>
      </w:pPr>
    </w:p>
    <w:p w:rsidR="00F8452C" w:rsidRDefault="00F8452C">
      <w:pPr>
        <w:ind w:firstLine="720"/>
        <w:jc w:val="both"/>
        <w:rPr>
          <w:sz w:val="23"/>
        </w:rPr>
      </w:pPr>
      <w:r>
        <w:rPr>
          <w:sz w:val="23"/>
        </w:rPr>
        <w:t>When possible, an applicant will receive approval or disapproval at PERC's next monthly Board meeting when a completed application is submitted at least ten days before a scheduled meeting.</w:t>
      </w:r>
    </w:p>
    <w:p w:rsidR="00F8452C" w:rsidRDefault="00F8452C">
      <w:pPr>
        <w:jc w:val="both"/>
        <w:rPr>
          <w:sz w:val="23"/>
        </w:rPr>
      </w:pPr>
    </w:p>
    <w:p w:rsidR="00F8452C" w:rsidRDefault="00F8452C">
      <w:pPr>
        <w:jc w:val="both"/>
        <w:rPr>
          <w:b/>
          <w:sz w:val="23"/>
        </w:rPr>
      </w:pPr>
      <w:r>
        <w:rPr>
          <w:b/>
          <w:sz w:val="23"/>
          <w:u w:val="single"/>
        </w:rPr>
        <w:t>PROGRAM REQUIREMENTS</w:t>
      </w:r>
    </w:p>
    <w:p w:rsidR="00F8452C" w:rsidRDefault="00F8452C">
      <w:pPr>
        <w:jc w:val="both"/>
        <w:rPr>
          <w:sz w:val="23"/>
        </w:rPr>
      </w:pPr>
    </w:p>
    <w:p w:rsidR="00F8452C" w:rsidRDefault="00F8452C">
      <w:pPr>
        <w:tabs>
          <w:tab w:val="left" w:pos="-1440"/>
        </w:tabs>
        <w:ind w:left="720" w:hanging="720"/>
        <w:jc w:val="both"/>
        <w:rPr>
          <w:sz w:val="23"/>
        </w:rPr>
      </w:pPr>
      <w:r>
        <w:rPr>
          <w:sz w:val="23"/>
        </w:rPr>
        <w:t>(1)</w:t>
      </w:r>
      <w:r>
        <w:rPr>
          <w:sz w:val="23"/>
        </w:rPr>
        <w:tab/>
        <w:t>Loan proceeds are to be used to finance the construction or acquisition of fixed assets and/or working capital needs in conjunction with fixed asset projects.</w:t>
      </w:r>
    </w:p>
    <w:p w:rsidR="00F8452C" w:rsidRDefault="00F8452C">
      <w:pPr>
        <w:jc w:val="both"/>
        <w:rPr>
          <w:sz w:val="23"/>
        </w:rPr>
      </w:pPr>
    </w:p>
    <w:p w:rsidR="00F8452C" w:rsidRDefault="00F8452C">
      <w:pPr>
        <w:tabs>
          <w:tab w:val="left" w:pos="-1440"/>
        </w:tabs>
        <w:ind w:left="720" w:hanging="720"/>
        <w:jc w:val="both"/>
        <w:rPr>
          <w:sz w:val="23"/>
        </w:rPr>
      </w:pPr>
      <w:r>
        <w:rPr>
          <w:sz w:val="23"/>
        </w:rPr>
        <w:t>(2)</w:t>
      </w:r>
      <w:r>
        <w:rPr>
          <w:sz w:val="23"/>
        </w:rPr>
        <w:tab/>
        <w:t>Loans cannot exceed forty percent (40%) of the applicant's project costs for amounts up to $</w:t>
      </w:r>
      <w:r w:rsidR="009E75DB">
        <w:rPr>
          <w:sz w:val="23"/>
        </w:rPr>
        <w:t>10</w:t>
      </w:r>
      <w:r>
        <w:rPr>
          <w:sz w:val="23"/>
        </w:rPr>
        <w:t>0,000.</w:t>
      </w:r>
    </w:p>
    <w:p w:rsidR="00F8452C" w:rsidRDefault="00F8452C">
      <w:pPr>
        <w:jc w:val="both"/>
        <w:rPr>
          <w:sz w:val="23"/>
        </w:rPr>
      </w:pPr>
    </w:p>
    <w:p w:rsidR="00F8452C" w:rsidRDefault="00F8452C">
      <w:pPr>
        <w:tabs>
          <w:tab w:val="left" w:pos="-1440"/>
        </w:tabs>
        <w:ind w:left="720" w:hanging="720"/>
        <w:jc w:val="both"/>
        <w:rPr>
          <w:sz w:val="23"/>
        </w:rPr>
      </w:pPr>
      <w:r>
        <w:rPr>
          <w:sz w:val="23"/>
        </w:rPr>
        <w:t>(3)</w:t>
      </w:r>
      <w:r>
        <w:rPr>
          <w:sz w:val="23"/>
        </w:rPr>
        <w:tab/>
        <w:t>The applicant will be required to invest a minimum of five percent (5%) of project costs from personal resources.</w:t>
      </w:r>
    </w:p>
    <w:p w:rsidR="00F8452C" w:rsidRDefault="00F8452C">
      <w:pPr>
        <w:jc w:val="both"/>
        <w:rPr>
          <w:sz w:val="23"/>
        </w:rPr>
      </w:pPr>
    </w:p>
    <w:p w:rsidR="00F8452C" w:rsidRDefault="00F8452C">
      <w:pPr>
        <w:tabs>
          <w:tab w:val="left" w:pos="-1440"/>
        </w:tabs>
        <w:ind w:left="720" w:hanging="720"/>
        <w:jc w:val="both"/>
        <w:rPr>
          <w:sz w:val="23"/>
        </w:rPr>
      </w:pPr>
      <w:r>
        <w:rPr>
          <w:sz w:val="23"/>
        </w:rPr>
        <w:t>(4)</w:t>
      </w:r>
      <w:r>
        <w:rPr>
          <w:sz w:val="23"/>
        </w:rPr>
        <w:tab/>
        <w:t>The term of the loan will not exceed the term of loans from other sources.</w:t>
      </w:r>
    </w:p>
    <w:p w:rsidR="00F8452C" w:rsidRDefault="00F8452C">
      <w:pPr>
        <w:jc w:val="both"/>
        <w:rPr>
          <w:sz w:val="23"/>
        </w:rPr>
      </w:pPr>
    </w:p>
    <w:p w:rsidR="00F8452C" w:rsidRDefault="00F8452C">
      <w:pPr>
        <w:tabs>
          <w:tab w:val="left" w:pos="-1440"/>
        </w:tabs>
        <w:ind w:left="720" w:hanging="720"/>
        <w:jc w:val="both"/>
        <w:rPr>
          <w:sz w:val="23"/>
        </w:rPr>
      </w:pPr>
      <w:r>
        <w:rPr>
          <w:sz w:val="23"/>
        </w:rPr>
        <w:t>(5)</w:t>
      </w:r>
      <w:r>
        <w:rPr>
          <w:sz w:val="23"/>
        </w:rPr>
        <w:tab/>
        <w:t>Loans from other sources shall not have closed prior to approval of the application by PERC.</w:t>
      </w:r>
    </w:p>
    <w:p w:rsidR="00F8452C" w:rsidRDefault="00F8452C">
      <w:pPr>
        <w:jc w:val="both"/>
        <w:rPr>
          <w:sz w:val="23"/>
        </w:rPr>
      </w:pPr>
    </w:p>
    <w:p w:rsidR="00F8452C" w:rsidRDefault="00F8452C">
      <w:pPr>
        <w:tabs>
          <w:tab w:val="left" w:pos="-1440"/>
        </w:tabs>
        <w:ind w:left="720" w:hanging="720"/>
        <w:jc w:val="both"/>
        <w:rPr>
          <w:sz w:val="23"/>
        </w:rPr>
      </w:pPr>
      <w:r>
        <w:rPr>
          <w:sz w:val="23"/>
        </w:rPr>
        <w:t>(6)</w:t>
      </w:r>
      <w:r>
        <w:rPr>
          <w:sz w:val="23"/>
        </w:rPr>
        <w:tab/>
      </w:r>
      <w:r w:rsidR="009E75DB">
        <w:rPr>
          <w:sz w:val="23"/>
        </w:rPr>
        <w:t xml:space="preserve">The interest rate will be </w:t>
      </w:r>
      <w:r w:rsidR="004C723C">
        <w:rPr>
          <w:sz w:val="23"/>
        </w:rPr>
        <w:t xml:space="preserve">determined based on the </w:t>
      </w:r>
      <w:r w:rsidR="00AE7CEA">
        <w:rPr>
          <w:sz w:val="23"/>
        </w:rPr>
        <w:t xml:space="preserve">requirements of the project </w:t>
      </w:r>
      <w:r w:rsidR="004C723C">
        <w:rPr>
          <w:sz w:val="23"/>
        </w:rPr>
        <w:t>and</w:t>
      </w:r>
      <w:r w:rsidR="00AE7CEA" w:rsidRPr="00AE7CEA">
        <w:rPr>
          <w:sz w:val="23"/>
        </w:rPr>
        <w:t xml:space="preserve"> </w:t>
      </w:r>
      <w:r w:rsidR="00AE7CEA">
        <w:rPr>
          <w:sz w:val="23"/>
        </w:rPr>
        <w:t>the structure of the project financing</w:t>
      </w:r>
      <w:r w:rsidR="004C723C">
        <w:rPr>
          <w:sz w:val="23"/>
        </w:rPr>
        <w:t>.  The rate will be</w:t>
      </w:r>
      <w:r w:rsidR="009E75DB">
        <w:rPr>
          <w:sz w:val="23"/>
        </w:rPr>
        <w:t xml:space="preserve"> </w:t>
      </w:r>
      <w:r>
        <w:rPr>
          <w:sz w:val="23"/>
        </w:rPr>
        <w:t>fixed</w:t>
      </w:r>
      <w:r w:rsidR="009E75DB">
        <w:rPr>
          <w:sz w:val="23"/>
        </w:rPr>
        <w:t xml:space="preserve"> for the term of the loan</w:t>
      </w:r>
      <w:r>
        <w:rPr>
          <w:sz w:val="23"/>
        </w:rPr>
        <w:t>.</w:t>
      </w:r>
    </w:p>
    <w:p w:rsidR="00F8452C" w:rsidRDefault="00F8452C">
      <w:pPr>
        <w:jc w:val="both"/>
        <w:rPr>
          <w:sz w:val="23"/>
        </w:rPr>
      </w:pPr>
    </w:p>
    <w:p w:rsidR="00F8452C" w:rsidRDefault="00F8452C">
      <w:pPr>
        <w:tabs>
          <w:tab w:val="left" w:pos="-1440"/>
        </w:tabs>
        <w:ind w:left="720" w:hanging="720"/>
        <w:jc w:val="both"/>
        <w:rPr>
          <w:sz w:val="23"/>
        </w:rPr>
      </w:pPr>
      <w:r>
        <w:rPr>
          <w:sz w:val="23"/>
        </w:rPr>
        <w:t>(7)</w:t>
      </w:r>
      <w:r>
        <w:rPr>
          <w:sz w:val="23"/>
        </w:rPr>
        <w:tab/>
        <w:t>Any person owning twenty percent (20%) or more of the applicant company, and the Chief Executive Officer of the applicant company, regardless of his/her ownership in the company, must personally guarantee the loan to PERC.</w:t>
      </w:r>
    </w:p>
    <w:p w:rsidR="00F8452C" w:rsidRDefault="00F8452C">
      <w:pPr>
        <w:jc w:val="both"/>
        <w:rPr>
          <w:sz w:val="23"/>
        </w:rPr>
      </w:pPr>
    </w:p>
    <w:p w:rsidR="00F8452C" w:rsidRDefault="00F8452C">
      <w:pPr>
        <w:jc w:val="both"/>
        <w:rPr>
          <w:sz w:val="23"/>
        </w:rPr>
      </w:pPr>
      <w:r>
        <w:rPr>
          <w:b/>
          <w:sz w:val="23"/>
          <w:u w:val="single"/>
        </w:rPr>
        <w:t>INELIGIBLE PROJECTS</w:t>
      </w:r>
    </w:p>
    <w:p w:rsidR="00F8452C" w:rsidRDefault="00F8452C">
      <w:pPr>
        <w:jc w:val="both"/>
        <w:rPr>
          <w:sz w:val="23"/>
        </w:rPr>
      </w:pPr>
    </w:p>
    <w:p w:rsidR="00F8452C" w:rsidRDefault="00F8452C">
      <w:pPr>
        <w:ind w:left="1440" w:hanging="720"/>
        <w:jc w:val="both"/>
        <w:rPr>
          <w:sz w:val="23"/>
        </w:rPr>
      </w:pPr>
      <w:r>
        <w:rPr>
          <w:sz w:val="23"/>
        </w:rPr>
        <w:t>* General promotion of the community as a whole.</w:t>
      </w:r>
    </w:p>
    <w:p w:rsidR="00F8452C" w:rsidRDefault="00F8452C">
      <w:pPr>
        <w:ind w:left="1440" w:hanging="720"/>
        <w:jc w:val="both"/>
        <w:rPr>
          <w:sz w:val="23"/>
        </w:rPr>
      </w:pPr>
      <w:r>
        <w:rPr>
          <w:sz w:val="23"/>
        </w:rPr>
        <w:t>* Assistance to professional sports teams.</w:t>
      </w:r>
    </w:p>
    <w:p w:rsidR="00F8452C" w:rsidRDefault="00F8452C">
      <w:pPr>
        <w:ind w:left="1440" w:hanging="720"/>
        <w:jc w:val="both"/>
        <w:rPr>
          <w:sz w:val="23"/>
        </w:rPr>
      </w:pPr>
      <w:r>
        <w:rPr>
          <w:sz w:val="23"/>
        </w:rPr>
        <w:t>* Assistance to privately owned recreational facilities that serve a higher-income clientele.</w:t>
      </w:r>
    </w:p>
    <w:p w:rsidR="00F8452C" w:rsidRDefault="00F8452C">
      <w:pPr>
        <w:ind w:left="1440" w:hanging="720"/>
        <w:jc w:val="both"/>
        <w:rPr>
          <w:sz w:val="23"/>
        </w:rPr>
      </w:pPr>
      <w:r>
        <w:rPr>
          <w:sz w:val="23"/>
        </w:rPr>
        <w:t>* Acquisition of land for which the specific proposed use has not been identified.</w:t>
      </w:r>
    </w:p>
    <w:p w:rsidR="00F8452C" w:rsidRDefault="00F8452C">
      <w:pPr>
        <w:ind w:left="1440" w:hanging="720"/>
        <w:jc w:val="both"/>
        <w:rPr>
          <w:sz w:val="23"/>
        </w:rPr>
      </w:pPr>
      <w:r>
        <w:rPr>
          <w:sz w:val="23"/>
        </w:rPr>
        <w:t>* Businesses that have unresolved non-compliance finding for previous CDBG assistance.</w:t>
      </w:r>
    </w:p>
    <w:p w:rsidR="00F8452C" w:rsidRDefault="00F8452C">
      <w:pPr>
        <w:pStyle w:val="Header"/>
        <w:tabs>
          <w:tab w:val="clear" w:pos="4320"/>
          <w:tab w:val="clear" w:pos="8640"/>
        </w:tabs>
      </w:pPr>
    </w:p>
    <w:p w:rsidR="00516603" w:rsidRDefault="00516603" w:rsidP="00516603">
      <w:pPr>
        <w:pStyle w:val="Footer"/>
        <w:rPr>
          <w:sz w:val="16"/>
          <w:szCs w:val="16"/>
        </w:rPr>
      </w:pPr>
      <w:r w:rsidRPr="00CE562B">
        <w:rPr>
          <w:sz w:val="16"/>
          <w:szCs w:val="16"/>
        </w:rPr>
        <w:fldChar w:fldCharType="begin"/>
      </w:r>
      <w:r w:rsidRPr="00CE562B">
        <w:rPr>
          <w:sz w:val="16"/>
          <w:szCs w:val="16"/>
        </w:rPr>
        <w:instrText xml:space="preserve"> FILENAME   \* MERGEFORMAT </w:instrText>
      </w:r>
      <w:r w:rsidRPr="00CE562B">
        <w:rPr>
          <w:sz w:val="16"/>
          <w:szCs w:val="16"/>
        </w:rPr>
        <w:fldChar w:fldCharType="separate"/>
      </w:r>
      <w:r>
        <w:rPr>
          <w:noProof/>
          <w:sz w:val="16"/>
          <w:szCs w:val="16"/>
        </w:rPr>
        <w:t>CDBG Small Business Loan Program 2018.docx</w:t>
      </w:r>
      <w:r w:rsidRPr="00CE562B">
        <w:rPr>
          <w:sz w:val="16"/>
          <w:szCs w:val="16"/>
        </w:rPr>
        <w:fldChar w:fldCharType="end"/>
      </w:r>
    </w:p>
    <w:p w:rsidR="00516603" w:rsidRDefault="00516603">
      <w:pPr>
        <w:pStyle w:val="Header"/>
        <w:tabs>
          <w:tab w:val="clear" w:pos="4320"/>
          <w:tab w:val="clear" w:pos="8640"/>
        </w:tabs>
      </w:pPr>
    </w:p>
    <w:sectPr w:rsidR="00516603" w:rsidSect="00516603">
      <w:headerReference w:type="default" r:id="rId8"/>
      <w:footerReference w:type="default" r:id="rId9"/>
      <w:footerReference w:type="first" r:id="rId10"/>
      <w:pgSz w:w="12240" w:h="15840"/>
      <w:pgMar w:top="450" w:right="907" w:bottom="144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A6" w:rsidRDefault="003D33A6">
      <w:r>
        <w:separator/>
      </w:r>
    </w:p>
  </w:endnote>
  <w:endnote w:type="continuationSeparator" w:id="0">
    <w:p w:rsidR="003D33A6" w:rsidRDefault="003D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2B" w:rsidRDefault="00CE562B" w:rsidP="00CE562B">
    <w:pPr>
      <w:pStyle w:val="Footer"/>
      <w:jc w:val="right"/>
    </w:pPr>
    <w:r>
      <w:t xml:space="preserve">Page </w:t>
    </w:r>
    <w:r>
      <w:fldChar w:fldCharType="begin"/>
    </w:r>
    <w:r>
      <w:instrText xml:space="preserve"> PAGE   \* MERGEFORMAT </w:instrText>
    </w:r>
    <w:r>
      <w:fldChar w:fldCharType="separate"/>
    </w:r>
    <w:r w:rsidR="00516603">
      <w:rPr>
        <w:noProof/>
      </w:rPr>
      <w:t>1</w:t>
    </w:r>
    <w:r>
      <w:fldChar w:fldCharType="end"/>
    </w:r>
    <w:r>
      <w:t xml:space="preserve"> of </w:t>
    </w:r>
    <w:r w:rsidR="00516603">
      <w:fldChar w:fldCharType="begin"/>
    </w:r>
    <w:r w:rsidR="00516603">
      <w:instrText xml:space="preserve"> NUMPAGES   \* MERGEFORMAT </w:instrText>
    </w:r>
    <w:r w:rsidR="00516603">
      <w:fldChar w:fldCharType="separate"/>
    </w:r>
    <w:r w:rsidR="00516603">
      <w:rPr>
        <w:noProof/>
      </w:rPr>
      <w:t>2</w:t>
    </w:r>
    <w:r w:rsidR="00516603">
      <w:rPr>
        <w:noProof/>
      </w:rPr>
      <w:fldChar w:fldCharType="end"/>
    </w:r>
  </w:p>
  <w:p w:rsidR="00516603" w:rsidRPr="00516603" w:rsidRDefault="00516603" w:rsidP="00516603">
    <w:pPr>
      <w:pStyle w:val="Footer"/>
      <w:jc w:val="center"/>
      <w:rPr>
        <w:rFonts w:asciiTheme="minorHAnsi" w:hAnsiTheme="minorHAnsi" w:cstheme="minorHAnsi"/>
        <w:sz w:val="16"/>
        <w:szCs w:val="16"/>
      </w:rPr>
    </w:pPr>
    <w:r w:rsidRPr="00516603">
      <w:rPr>
        <w:rFonts w:asciiTheme="minorHAnsi" w:hAnsiTheme="minorHAnsi" w:cstheme="minorHAnsi"/>
      </w:rPr>
      <w:t>Department of Community Development, 70 Allen Street, Pittsfield, MA  01201   www.businesspittsfield.com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D5" w:rsidRPr="008101D5" w:rsidRDefault="008101D5" w:rsidP="008101D5">
    <w:pPr>
      <w:pStyle w:val="Footer"/>
      <w:jc w:val="right"/>
    </w:pPr>
    <w:r w:rsidRPr="008101D5">
      <w:t xml:space="preserve">Page </w:t>
    </w:r>
    <w:r w:rsidRPr="008101D5">
      <w:fldChar w:fldCharType="begin"/>
    </w:r>
    <w:r w:rsidRPr="008101D5">
      <w:instrText xml:space="preserve"> PAGE   \* MERGEFORMAT </w:instrText>
    </w:r>
    <w:r w:rsidRPr="008101D5">
      <w:fldChar w:fldCharType="separate"/>
    </w:r>
    <w:r w:rsidR="00B74FBC">
      <w:rPr>
        <w:noProof/>
      </w:rPr>
      <w:t>1</w:t>
    </w:r>
    <w:r w:rsidRPr="008101D5">
      <w:fldChar w:fldCharType="end"/>
    </w:r>
    <w:r w:rsidRPr="008101D5">
      <w:t xml:space="preserve"> of </w:t>
    </w:r>
    <w:fldSimple w:instr=" NUMPAGES   \* MERGEFORMAT ">
      <w:r w:rsidR="001E78D5">
        <w:rPr>
          <w:noProof/>
        </w:rPr>
        <w:t>2</w:t>
      </w:r>
    </w:fldSimple>
  </w:p>
  <w:p w:rsidR="008101D5" w:rsidRDefault="008101D5">
    <w:pPr>
      <w:pStyle w:val="Footer"/>
      <w:rPr>
        <w:sz w:val="16"/>
        <w:szCs w:val="16"/>
      </w:rPr>
    </w:pPr>
  </w:p>
  <w:p w:rsidR="008101D5" w:rsidRPr="008101D5" w:rsidRDefault="008101D5">
    <w:pPr>
      <w:pStyle w:val="Footer"/>
      <w:rPr>
        <w:sz w:val="16"/>
        <w:szCs w:val="16"/>
      </w:rPr>
    </w:pPr>
    <w:r w:rsidRPr="008101D5">
      <w:rPr>
        <w:sz w:val="16"/>
        <w:szCs w:val="16"/>
      </w:rPr>
      <w:fldChar w:fldCharType="begin"/>
    </w:r>
    <w:r w:rsidRPr="008101D5">
      <w:rPr>
        <w:sz w:val="16"/>
        <w:szCs w:val="16"/>
      </w:rPr>
      <w:instrText xml:space="preserve"> FILENAME  \p  \* MERGEFORMAT </w:instrText>
    </w:r>
    <w:r w:rsidRPr="008101D5">
      <w:rPr>
        <w:sz w:val="16"/>
        <w:szCs w:val="16"/>
      </w:rPr>
      <w:fldChar w:fldCharType="separate"/>
    </w:r>
    <w:r w:rsidR="001E78D5">
      <w:rPr>
        <w:noProof/>
        <w:sz w:val="16"/>
        <w:szCs w:val="16"/>
      </w:rPr>
      <w:t>S:\DCD\PERC BOARD\2018 PERC Packet\CDBG Small Business Loan Program 2018.docx</w:t>
    </w:r>
    <w:r w:rsidRPr="008101D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A6" w:rsidRDefault="003D33A6">
      <w:r>
        <w:separator/>
      </w:r>
    </w:p>
  </w:footnote>
  <w:footnote w:type="continuationSeparator" w:id="0">
    <w:p w:rsidR="003D33A6" w:rsidRDefault="003D3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FE" w:rsidRDefault="001931FE">
    <w:pPr>
      <w:pStyle w:val="Header"/>
      <w:jc w:val="both"/>
      <w:rPr>
        <w:rFonts w:ascii="Univers" w:hAnsi="Univers"/>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E7A79"/>
    <w:multiLevelType w:val="hybridMultilevel"/>
    <w:tmpl w:val="B3E4E424"/>
    <w:lvl w:ilvl="0" w:tplc="2DB28A36">
      <w:start w:val="1"/>
      <w:numFmt w:val="bullet"/>
      <w:lvlText w:val=""/>
      <w:lvlJc w:val="left"/>
      <w:pPr>
        <w:tabs>
          <w:tab w:val="num" w:pos="720"/>
        </w:tabs>
        <w:ind w:left="720" w:hanging="360"/>
      </w:pPr>
      <w:rPr>
        <w:rFonts w:ascii="Symbol" w:hAnsi="Symbol" w:hint="default"/>
        <w:color w:val="auto"/>
      </w:rPr>
    </w:lvl>
    <w:lvl w:ilvl="1" w:tplc="F1DADDC8">
      <w:start w:val="1"/>
      <w:numFmt w:val="bullet"/>
      <w:lvlText w:val="▪"/>
      <w:lvlJc w:val="left"/>
      <w:pPr>
        <w:tabs>
          <w:tab w:val="num" w:pos="1440"/>
        </w:tabs>
        <w:ind w:left="1440" w:hanging="72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D766C8"/>
    <w:multiLevelType w:val="hybridMultilevel"/>
    <w:tmpl w:val="B3E4E424"/>
    <w:lvl w:ilvl="0" w:tplc="2DB28A36">
      <w:start w:val="1"/>
      <w:numFmt w:val="bullet"/>
      <w:lvlText w:val=""/>
      <w:lvlJc w:val="left"/>
      <w:pPr>
        <w:tabs>
          <w:tab w:val="num" w:pos="720"/>
        </w:tabs>
        <w:ind w:left="720" w:hanging="360"/>
      </w:pPr>
      <w:rPr>
        <w:rFonts w:ascii="Symbol" w:hAnsi="Symbol" w:hint="default"/>
        <w:color w:val="auto"/>
      </w:rPr>
    </w:lvl>
    <w:lvl w:ilvl="1" w:tplc="22B610F0">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DB"/>
    <w:rsid w:val="000258EE"/>
    <w:rsid w:val="00065FCD"/>
    <w:rsid w:val="00071BF1"/>
    <w:rsid w:val="000F3830"/>
    <w:rsid w:val="00142B14"/>
    <w:rsid w:val="00146DE2"/>
    <w:rsid w:val="00162B73"/>
    <w:rsid w:val="001670B6"/>
    <w:rsid w:val="001931FE"/>
    <w:rsid w:val="001A5DC8"/>
    <w:rsid w:val="001E78D5"/>
    <w:rsid w:val="00235AE0"/>
    <w:rsid w:val="00257D15"/>
    <w:rsid w:val="002C4DA8"/>
    <w:rsid w:val="00342BBD"/>
    <w:rsid w:val="003D33A6"/>
    <w:rsid w:val="003D4D8C"/>
    <w:rsid w:val="00475A81"/>
    <w:rsid w:val="004C723C"/>
    <w:rsid w:val="005039B7"/>
    <w:rsid w:val="00504654"/>
    <w:rsid w:val="00516603"/>
    <w:rsid w:val="00616892"/>
    <w:rsid w:val="006A214B"/>
    <w:rsid w:val="006A6DE9"/>
    <w:rsid w:val="006D3AA9"/>
    <w:rsid w:val="00727967"/>
    <w:rsid w:val="00740A10"/>
    <w:rsid w:val="008101D5"/>
    <w:rsid w:val="00813662"/>
    <w:rsid w:val="0086605E"/>
    <w:rsid w:val="00917458"/>
    <w:rsid w:val="00921558"/>
    <w:rsid w:val="00990C59"/>
    <w:rsid w:val="009E75DB"/>
    <w:rsid w:val="00AE650A"/>
    <w:rsid w:val="00AE7CEA"/>
    <w:rsid w:val="00B2359A"/>
    <w:rsid w:val="00B638ED"/>
    <w:rsid w:val="00B74FBC"/>
    <w:rsid w:val="00C1601D"/>
    <w:rsid w:val="00C2526B"/>
    <w:rsid w:val="00C34161"/>
    <w:rsid w:val="00CE562B"/>
    <w:rsid w:val="00D1283F"/>
    <w:rsid w:val="00D15204"/>
    <w:rsid w:val="00D4021B"/>
    <w:rsid w:val="00D96DD6"/>
    <w:rsid w:val="00DB4605"/>
    <w:rsid w:val="00E67D90"/>
    <w:rsid w:val="00EC719B"/>
    <w:rsid w:val="00EF662D"/>
    <w:rsid w:val="00F8452C"/>
    <w:rsid w:val="00F9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92E11E2"/>
  <w15:docId w15:val="{37C42974-D35C-4EAB-B1A3-F60DCEB7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jc w:val="both"/>
    </w:pPr>
    <w:rPr>
      <w:snapToGrid w:val="0"/>
      <w:sz w:val="23"/>
      <w:szCs w:val="20"/>
    </w:rPr>
  </w:style>
  <w:style w:type="paragraph" w:styleId="BalloonText">
    <w:name w:val="Balloon Text"/>
    <w:basedOn w:val="Normal"/>
    <w:semiHidden/>
    <w:rsid w:val="00AE650A"/>
    <w:rPr>
      <w:rFonts w:ascii="Tahoma" w:hAnsi="Tahoma" w:cs="Tahoma"/>
      <w:sz w:val="16"/>
      <w:szCs w:val="16"/>
    </w:rPr>
  </w:style>
  <w:style w:type="character" w:styleId="FollowedHyperlink">
    <w:name w:val="FollowedHyperlink"/>
    <w:basedOn w:val="DefaultParagraphFont"/>
    <w:rsid w:val="00990C59"/>
    <w:rPr>
      <w:color w:val="800080"/>
      <w:u w:val="single"/>
    </w:rPr>
  </w:style>
  <w:style w:type="paragraph" w:styleId="NoSpacing">
    <w:name w:val="No Spacing"/>
    <w:uiPriority w:val="1"/>
    <w:qFormat/>
    <w:rsid w:val="0051660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obrowolski\Application%20Data\Microsoft\Templates\PER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PERC Letterhead.dot</Template>
  <TotalTime>0</TotalTime>
  <Pages>2</Pages>
  <Words>697</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Pittsfield</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adobrowolski</dc:creator>
  <cp:lastModifiedBy>Kozlowski, Theodore</cp:lastModifiedBy>
  <cp:revision>2</cp:revision>
  <cp:lastPrinted>2019-03-19T18:13:00Z</cp:lastPrinted>
  <dcterms:created xsi:type="dcterms:W3CDTF">2022-06-29T14:45:00Z</dcterms:created>
  <dcterms:modified xsi:type="dcterms:W3CDTF">2022-06-29T14:45:00Z</dcterms:modified>
</cp:coreProperties>
</file>